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E4" w:rsidRDefault="002664E4" w:rsidP="002664E4">
      <w:pPr>
        <w:spacing w:before="150" w:after="150" w:line="360" w:lineRule="atLeast"/>
        <w:jc w:val="right"/>
        <w:rPr>
          <w:rFonts w:ascii="Arial" w:hAnsi="Arial" w:cs="Arial"/>
          <w:sz w:val="40"/>
          <w:szCs w:val="40"/>
        </w:rPr>
      </w:pPr>
      <w:r>
        <w:rPr>
          <w:noProof/>
        </w:rPr>
        <w:drawing>
          <wp:inline distT="0" distB="0" distL="0" distR="0" wp14:anchorId="48B3B9D6" wp14:editId="31ED21EE">
            <wp:extent cx="1914525" cy="1228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14525" cy="1228725"/>
                    </a:xfrm>
                    <a:prstGeom prst="rect">
                      <a:avLst/>
                    </a:prstGeom>
                  </pic:spPr>
                </pic:pic>
              </a:graphicData>
            </a:graphic>
          </wp:inline>
        </w:drawing>
      </w: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Default="002664E4" w:rsidP="002664E4">
      <w:pPr>
        <w:spacing w:before="150" w:after="150" w:line="360" w:lineRule="atLeast"/>
        <w:jc w:val="both"/>
        <w:rPr>
          <w:rFonts w:ascii="Arial" w:hAnsi="Arial" w:cs="Arial"/>
          <w:sz w:val="40"/>
          <w:szCs w:val="40"/>
        </w:rPr>
      </w:pPr>
    </w:p>
    <w:p w:rsidR="002664E4" w:rsidRPr="00DE2279" w:rsidRDefault="002664E4" w:rsidP="002664E4">
      <w:pPr>
        <w:spacing w:before="150" w:after="150" w:line="360" w:lineRule="atLeast"/>
        <w:jc w:val="both"/>
        <w:rPr>
          <w:rFonts w:ascii="Arial" w:hAnsi="Arial" w:cs="Arial"/>
          <w:sz w:val="40"/>
          <w:szCs w:val="40"/>
        </w:rPr>
      </w:pPr>
    </w:p>
    <w:p w:rsidR="002664E4" w:rsidRPr="009146B6" w:rsidRDefault="002664E4" w:rsidP="002664E4">
      <w:pPr>
        <w:spacing w:before="150" w:after="150" w:line="360" w:lineRule="atLeast"/>
        <w:jc w:val="center"/>
        <w:rPr>
          <w:sz w:val="44"/>
          <w:szCs w:val="44"/>
          <w:lang w:val="en-US"/>
        </w:rPr>
      </w:pPr>
      <w:r>
        <w:rPr>
          <w:sz w:val="44"/>
          <w:szCs w:val="44"/>
          <w:lang w:val="en-US"/>
        </w:rPr>
        <w:t>Detailed Analysis of Financial Statements</w:t>
      </w:r>
      <w:r w:rsidRPr="009146B6">
        <w:rPr>
          <w:sz w:val="44"/>
          <w:szCs w:val="44"/>
          <w:lang w:val="en-US"/>
        </w:rPr>
        <w:t xml:space="preserve"> </w:t>
      </w:r>
    </w:p>
    <w:p w:rsidR="00FB1C53" w:rsidRDefault="002664E4" w:rsidP="002664E4">
      <w:pPr>
        <w:spacing w:before="150" w:after="150" w:line="360" w:lineRule="atLeast"/>
        <w:jc w:val="center"/>
        <w:rPr>
          <w:sz w:val="44"/>
          <w:szCs w:val="44"/>
          <w:lang w:val="en-US"/>
        </w:rPr>
      </w:pPr>
      <w:proofErr w:type="gramStart"/>
      <w:r>
        <w:rPr>
          <w:sz w:val="44"/>
          <w:szCs w:val="44"/>
          <w:lang w:val="en-US"/>
        </w:rPr>
        <w:t>of</w:t>
      </w:r>
      <w:proofErr w:type="gramEnd"/>
      <w:r>
        <w:rPr>
          <w:sz w:val="44"/>
          <w:szCs w:val="44"/>
          <w:lang w:val="en-US"/>
        </w:rPr>
        <w:t xml:space="preserve"> “Samruk-Kazyna” </w:t>
      </w:r>
      <w:r w:rsidR="00287F7C">
        <w:rPr>
          <w:sz w:val="44"/>
          <w:szCs w:val="44"/>
          <w:lang w:val="en-US"/>
        </w:rPr>
        <w:t>JSC</w:t>
      </w:r>
    </w:p>
    <w:p w:rsidR="002664E4" w:rsidRPr="009146B6" w:rsidRDefault="002664E4" w:rsidP="002664E4">
      <w:pPr>
        <w:spacing w:before="150" w:after="150" w:line="360" w:lineRule="atLeast"/>
        <w:jc w:val="center"/>
        <w:rPr>
          <w:sz w:val="44"/>
          <w:szCs w:val="44"/>
          <w:lang w:val="en-US"/>
        </w:rPr>
      </w:pPr>
      <w:proofErr w:type="gramStart"/>
      <w:r>
        <w:rPr>
          <w:sz w:val="44"/>
          <w:szCs w:val="44"/>
          <w:lang w:val="en-US"/>
        </w:rPr>
        <w:t>for</w:t>
      </w:r>
      <w:proofErr w:type="gramEnd"/>
      <w:r>
        <w:rPr>
          <w:sz w:val="44"/>
          <w:szCs w:val="44"/>
          <w:lang w:val="en-US"/>
        </w:rPr>
        <w:t xml:space="preserve"> </w:t>
      </w:r>
      <w:r w:rsidR="00FB1C53">
        <w:rPr>
          <w:sz w:val="44"/>
          <w:szCs w:val="44"/>
          <w:lang w:val="en-US"/>
        </w:rPr>
        <w:t>the first half of 2012</w:t>
      </w: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9146B6" w:rsidRDefault="002664E4" w:rsidP="002664E4">
      <w:pPr>
        <w:spacing w:before="150" w:after="150" w:line="360" w:lineRule="atLeast"/>
        <w:jc w:val="center"/>
        <w:rPr>
          <w:sz w:val="44"/>
          <w:szCs w:val="44"/>
          <w:lang w:val="en-US"/>
        </w:rPr>
      </w:pPr>
    </w:p>
    <w:p w:rsidR="002664E4" w:rsidRPr="00EB501D" w:rsidRDefault="00FB1C53" w:rsidP="002664E4">
      <w:pPr>
        <w:spacing w:before="150" w:after="150" w:line="360" w:lineRule="atLeast"/>
        <w:jc w:val="center"/>
        <w:rPr>
          <w:sz w:val="22"/>
          <w:szCs w:val="22"/>
          <w:lang w:val="en-US"/>
        </w:rPr>
      </w:pPr>
      <w:r>
        <w:rPr>
          <w:sz w:val="22"/>
          <w:szCs w:val="22"/>
          <w:lang w:val="en-US"/>
        </w:rPr>
        <w:t>September</w:t>
      </w:r>
      <w:r w:rsidR="002664E4" w:rsidRPr="00EB501D">
        <w:rPr>
          <w:sz w:val="22"/>
          <w:szCs w:val="22"/>
          <w:lang w:val="en-US"/>
        </w:rPr>
        <w:t>, 2012</w:t>
      </w:r>
    </w:p>
    <w:p w:rsidR="002664E4" w:rsidRPr="00584768" w:rsidRDefault="002664E4" w:rsidP="002664E4">
      <w:pPr>
        <w:tabs>
          <w:tab w:val="left" w:pos="8454"/>
        </w:tabs>
        <w:jc w:val="center"/>
        <w:rPr>
          <w:b/>
          <w:sz w:val="28"/>
          <w:szCs w:val="28"/>
          <w:lang w:val="en-US"/>
        </w:rPr>
      </w:pPr>
      <w:r w:rsidRPr="00584768">
        <w:rPr>
          <w:b/>
          <w:sz w:val="28"/>
          <w:szCs w:val="28"/>
          <w:lang w:val="en-US"/>
        </w:rPr>
        <w:lastRenderedPageBreak/>
        <w:t>TABLE OF CONTENTS</w:t>
      </w:r>
    </w:p>
    <w:p w:rsidR="002664E4" w:rsidRPr="00584768" w:rsidRDefault="002664E4" w:rsidP="002664E4">
      <w:pPr>
        <w:tabs>
          <w:tab w:val="left" w:pos="8454"/>
        </w:tabs>
        <w:jc w:val="center"/>
        <w:rPr>
          <w:sz w:val="28"/>
          <w:szCs w:val="28"/>
          <w:lang w:val="en-US"/>
        </w:rPr>
      </w:pPr>
    </w:p>
    <w:p w:rsidR="002664E4" w:rsidRPr="00584768" w:rsidRDefault="002664E4" w:rsidP="002664E4">
      <w:pPr>
        <w:tabs>
          <w:tab w:val="left" w:pos="8454"/>
        </w:tabs>
        <w:jc w:val="right"/>
        <w:rPr>
          <w:sz w:val="28"/>
          <w:szCs w:val="28"/>
          <w:lang w:val="en-US"/>
        </w:rPr>
      </w:pPr>
      <w:r w:rsidRPr="00584768">
        <w:rPr>
          <w:sz w:val="28"/>
          <w:szCs w:val="28"/>
          <w:lang w:val="en-US"/>
        </w:rPr>
        <w:t>P.</w:t>
      </w:r>
    </w:p>
    <w:p w:rsidR="002664E4" w:rsidRPr="00584768" w:rsidRDefault="002664E4" w:rsidP="002664E4">
      <w:pPr>
        <w:rPr>
          <w:sz w:val="20"/>
          <w:szCs w:val="20"/>
          <w:lang w:val="en-US"/>
        </w:rPr>
      </w:pPr>
    </w:p>
    <w:p w:rsidR="002664E4" w:rsidRPr="00584768" w:rsidRDefault="002664E4" w:rsidP="002664E4">
      <w:pPr>
        <w:pStyle w:val="a3"/>
        <w:numPr>
          <w:ilvl w:val="0"/>
          <w:numId w:val="16"/>
        </w:numPr>
        <w:tabs>
          <w:tab w:val="left" w:leader="dot" w:pos="8789"/>
        </w:tabs>
        <w:spacing w:line="360" w:lineRule="auto"/>
        <w:ind w:left="284" w:right="1" w:hanging="142"/>
        <w:rPr>
          <w:sz w:val="28"/>
          <w:szCs w:val="28"/>
          <w:lang w:val="en-US"/>
        </w:rPr>
      </w:pPr>
      <w:r w:rsidRPr="00584768">
        <w:rPr>
          <w:sz w:val="28"/>
          <w:szCs w:val="28"/>
          <w:lang w:val="en-US"/>
        </w:rPr>
        <w:t>Review</w:t>
      </w:r>
      <w:r w:rsidR="009A3F7B" w:rsidRPr="00584768">
        <w:rPr>
          <w:sz w:val="28"/>
          <w:szCs w:val="28"/>
          <w:lang w:val="en-US"/>
        </w:rPr>
        <w:t xml:space="preserve"> of the Fund’s Group</w:t>
      </w:r>
      <w:r w:rsidRPr="00584768">
        <w:rPr>
          <w:sz w:val="28"/>
          <w:szCs w:val="28"/>
          <w:lang w:val="en-US"/>
        </w:rPr>
        <w:tab/>
        <w:t xml:space="preserve"> </w:t>
      </w:r>
      <w:r w:rsidRPr="00584768">
        <w:rPr>
          <w:lang w:val="en-US"/>
        </w:rPr>
        <w:t>3</w:t>
      </w:r>
    </w:p>
    <w:p w:rsidR="002664E4" w:rsidRPr="00584768" w:rsidRDefault="002664E4" w:rsidP="002664E4">
      <w:pPr>
        <w:pStyle w:val="a3"/>
        <w:numPr>
          <w:ilvl w:val="0"/>
          <w:numId w:val="16"/>
        </w:numPr>
        <w:tabs>
          <w:tab w:val="left" w:leader="dot" w:pos="8789"/>
        </w:tabs>
        <w:spacing w:line="360" w:lineRule="auto"/>
        <w:ind w:left="284" w:right="1" w:hanging="142"/>
        <w:rPr>
          <w:sz w:val="28"/>
          <w:szCs w:val="28"/>
          <w:lang w:val="en-US"/>
        </w:rPr>
      </w:pPr>
      <w:r w:rsidRPr="00584768">
        <w:rPr>
          <w:sz w:val="28"/>
          <w:szCs w:val="28"/>
          <w:lang w:val="en-US"/>
        </w:rPr>
        <w:t>Results of Operations</w:t>
      </w:r>
      <w:r w:rsidR="009A3F7B" w:rsidRPr="00584768">
        <w:rPr>
          <w:sz w:val="28"/>
          <w:szCs w:val="28"/>
          <w:lang w:val="en-US"/>
        </w:rPr>
        <w:t xml:space="preserve"> and </w:t>
      </w:r>
      <w:r w:rsidR="00CC1977" w:rsidRPr="00584768">
        <w:rPr>
          <w:sz w:val="28"/>
          <w:szCs w:val="28"/>
          <w:lang w:val="en-US"/>
        </w:rPr>
        <w:t>Capital Costs</w:t>
      </w:r>
      <w:r w:rsidRPr="00584768">
        <w:rPr>
          <w:sz w:val="28"/>
          <w:szCs w:val="28"/>
          <w:lang w:val="en-US"/>
        </w:rPr>
        <w:tab/>
      </w:r>
      <w:r w:rsidR="0030309E" w:rsidRPr="00584768">
        <w:rPr>
          <w:lang w:val="en-US"/>
        </w:rPr>
        <w:t>1</w:t>
      </w:r>
      <w:r w:rsidR="004035DC" w:rsidRPr="00584768">
        <w:rPr>
          <w:lang w:val="en-US"/>
        </w:rPr>
        <w:t>4</w:t>
      </w:r>
    </w:p>
    <w:p w:rsidR="002664E4" w:rsidRPr="00584768" w:rsidRDefault="002664E4" w:rsidP="002664E4">
      <w:pPr>
        <w:pStyle w:val="a3"/>
        <w:numPr>
          <w:ilvl w:val="0"/>
          <w:numId w:val="17"/>
        </w:numPr>
        <w:tabs>
          <w:tab w:val="left" w:leader="dot" w:pos="8789"/>
        </w:tabs>
        <w:spacing w:line="360" w:lineRule="auto"/>
        <w:ind w:left="709" w:right="1" w:hanging="425"/>
      </w:pPr>
      <w:r w:rsidRPr="00584768">
        <w:rPr>
          <w:lang w:val="en-US"/>
        </w:rPr>
        <w:t xml:space="preserve">Consolidated </w:t>
      </w:r>
      <w:r w:rsidRPr="00584768">
        <w:t xml:space="preserve"> </w:t>
      </w:r>
      <w:r w:rsidRPr="00584768">
        <w:rPr>
          <w:lang w:val="en-US"/>
        </w:rPr>
        <w:t xml:space="preserve">financial indicators </w:t>
      </w:r>
      <w:r w:rsidRPr="00584768">
        <w:t xml:space="preserve">  </w:t>
      </w:r>
      <w:r w:rsidRPr="00584768">
        <w:tab/>
      </w:r>
      <w:r w:rsidR="0030309E" w:rsidRPr="00584768">
        <w:rPr>
          <w:lang w:val="en-US"/>
        </w:rPr>
        <w:t>1</w:t>
      </w:r>
      <w:r w:rsidR="004035DC" w:rsidRPr="00584768">
        <w:t>4</w:t>
      </w:r>
    </w:p>
    <w:p w:rsidR="002664E4" w:rsidRPr="00584768" w:rsidRDefault="002664E4" w:rsidP="002664E4">
      <w:pPr>
        <w:pStyle w:val="a3"/>
        <w:numPr>
          <w:ilvl w:val="0"/>
          <w:numId w:val="17"/>
        </w:numPr>
        <w:tabs>
          <w:tab w:val="left" w:leader="dot" w:pos="8789"/>
        </w:tabs>
        <w:spacing w:line="360" w:lineRule="auto"/>
        <w:ind w:left="709" w:right="1" w:hanging="425"/>
        <w:rPr>
          <w:lang w:val="en-US"/>
        </w:rPr>
      </w:pPr>
      <w:r w:rsidRPr="00584768">
        <w:rPr>
          <w:lang w:val="en-US"/>
        </w:rPr>
        <w:t>Consolidated  financial indicators  without STB</w:t>
      </w:r>
      <w:r w:rsidRPr="00584768">
        <w:rPr>
          <w:lang w:val="en-US"/>
        </w:rPr>
        <w:tab/>
      </w:r>
      <w:r w:rsidR="004035DC" w:rsidRPr="00584768">
        <w:rPr>
          <w:lang w:val="en-US"/>
        </w:rPr>
        <w:t>1</w:t>
      </w:r>
      <w:r w:rsidR="00353DB4" w:rsidRPr="00353DB4">
        <w:rPr>
          <w:lang w:val="en-US"/>
        </w:rPr>
        <w:t>6</w:t>
      </w:r>
    </w:p>
    <w:p w:rsidR="002664E4" w:rsidRPr="00584768" w:rsidRDefault="002664E4" w:rsidP="002664E4">
      <w:pPr>
        <w:pStyle w:val="a3"/>
        <w:numPr>
          <w:ilvl w:val="0"/>
          <w:numId w:val="17"/>
        </w:numPr>
        <w:tabs>
          <w:tab w:val="left" w:leader="dot" w:pos="8789"/>
        </w:tabs>
        <w:spacing w:line="360" w:lineRule="auto"/>
        <w:ind w:left="709" w:right="1" w:hanging="425"/>
        <w:rPr>
          <w:lang w:val="en-US"/>
        </w:rPr>
      </w:pPr>
      <w:r w:rsidRPr="00584768">
        <w:rPr>
          <w:lang w:val="en-US"/>
        </w:rPr>
        <w:t>Financial indicators by segments and capital resources</w:t>
      </w:r>
      <w:r w:rsidRPr="00584768">
        <w:rPr>
          <w:lang w:val="en-US"/>
        </w:rPr>
        <w:tab/>
      </w:r>
      <w:r w:rsidR="004035DC" w:rsidRPr="00584768">
        <w:rPr>
          <w:lang w:val="en-US"/>
        </w:rPr>
        <w:t>1</w:t>
      </w:r>
      <w:r w:rsidR="00353DB4" w:rsidRPr="00353DB4">
        <w:rPr>
          <w:lang w:val="en-US"/>
        </w:rPr>
        <w:t>8</w:t>
      </w:r>
      <w:bookmarkStart w:id="0" w:name="_GoBack"/>
      <w:bookmarkEnd w:id="0"/>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“Oil &amp; Gas” Segment</w:t>
      </w:r>
      <w:r w:rsidRPr="00584768">
        <w:rPr>
          <w:lang w:val="en-US"/>
        </w:rPr>
        <w:tab/>
      </w:r>
      <w:r w:rsidR="0030309E" w:rsidRPr="00584768">
        <w:rPr>
          <w:lang w:val="en-US"/>
        </w:rPr>
        <w:t>2</w:t>
      </w:r>
      <w:r w:rsidR="004035DC" w:rsidRPr="00584768">
        <w:t>1</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“Mining</w:t>
      </w:r>
      <w:r w:rsidRPr="00584768">
        <w:t xml:space="preserve"> </w:t>
      </w:r>
      <w:r w:rsidRPr="00584768">
        <w:rPr>
          <w:lang w:val="en-US"/>
        </w:rPr>
        <w:t xml:space="preserve">and </w:t>
      </w:r>
      <w:r w:rsidR="0030309E" w:rsidRPr="00584768">
        <w:rPr>
          <w:lang w:val="en-US"/>
        </w:rPr>
        <w:t>Industrial</w:t>
      </w:r>
      <w:r w:rsidRPr="00584768">
        <w:rPr>
          <w:lang w:val="en-US"/>
        </w:rPr>
        <w:t>” Segment</w:t>
      </w:r>
      <w:r w:rsidRPr="00584768">
        <w:rPr>
          <w:lang w:val="en-US"/>
        </w:rPr>
        <w:tab/>
      </w:r>
      <w:r w:rsidR="0030309E" w:rsidRPr="00584768">
        <w:rPr>
          <w:lang w:val="en-US"/>
        </w:rPr>
        <w:t>2</w:t>
      </w:r>
      <w:r w:rsidR="004035DC" w:rsidRPr="00584768">
        <w:t>3</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“Transport” Segment</w:t>
      </w:r>
      <w:r w:rsidRPr="00584768">
        <w:rPr>
          <w:lang w:val="en-US"/>
        </w:rPr>
        <w:tab/>
      </w:r>
      <w:r w:rsidR="0030309E" w:rsidRPr="00584768">
        <w:rPr>
          <w:lang w:val="en-US"/>
        </w:rPr>
        <w:t>2</w:t>
      </w:r>
      <w:r w:rsidR="004035DC" w:rsidRPr="00584768">
        <w:t>4</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“Power” Segment</w:t>
      </w:r>
      <w:r w:rsidRPr="00584768">
        <w:rPr>
          <w:lang w:val="en-US"/>
        </w:rPr>
        <w:tab/>
      </w:r>
      <w:r w:rsidR="004035DC" w:rsidRPr="00584768">
        <w:t>2</w:t>
      </w:r>
      <w:r w:rsidR="00584768" w:rsidRPr="00584768">
        <w:rPr>
          <w:lang w:val="en-US"/>
        </w:rPr>
        <w:t>5</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“Telecommunication” Segment</w:t>
      </w:r>
      <w:r w:rsidRPr="00584768">
        <w:rPr>
          <w:lang w:val="en-US"/>
        </w:rPr>
        <w:tab/>
      </w:r>
      <w:r w:rsidR="004035DC" w:rsidRPr="00584768">
        <w:t>27</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“Financial Institutes and Development Institutes” Segment</w:t>
      </w:r>
      <w:r w:rsidRPr="00584768">
        <w:rPr>
          <w:lang w:val="en-US"/>
        </w:rPr>
        <w:tab/>
      </w:r>
      <w:r w:rsidR="004035DC" w:rsidRPr="00584768">
        <w:rPr>
          <w:lang w:val="en-US"/>
        </w:rPr>
        <w:t>29</w:t>
      </w:r>
    </w:p>
    <w:p w:rsidR="002664E4" w:rsidRPr="00584768" w:rsidRDefault="002664E4" w:rsidP="002664E4">
      <w:pPr>
        <w:pStyle w:val="a3"/>
        <w:numPr>
          <w:ilvl w:val="1"/>
          <w:numId w:val="17"/>
        </w:numPr>
        <w:tabs>
          <w:tab w:val="left" w:leader="dot" w:pos="8789"/>
        </w:tabs>
        <w:spacing w:line="360" w:lineRule="auto"/>
        <w:ind w:left="709" w:right="1" w:hanging="425"/>
        <w:rPr>
          <w:lang w:val="en-US"/>
        </w:rPr>
      </w:pPr>
      <w:r w:rsidRPr="00584768">
        <w:rPr>
          <w:lang w:val="en-US"/>
        </w:rPr>
        <w:t>“Corporate Centre and Projects” Segment</w:t>
      </w:r>
      <w:r w:rsidRPr="00584768">
        <w:rPr>
          <w:lang w:val="en-US"/>
        </w:rPr>
        <w:tab/>
        <w:t>3</w:t>
      </w:r>
      <w:r w:rsidR="004035DC" w:rsidRPr="00584768">
        <w:rPr>
          <w:lang w:val="en-US"/>
        </w:rPr>
        <w:t>0</w:t>
      </w:r>
    </w:p>
    <w:p w:rsidR="002664E4" w:rsidRPr="00584768" w:rsidRDefault="00FB1C53" w:rsidP="002664E4">
      <w:pPr>
        <w:pStyle w:val="a3"/>
        <w:numPr>
          <w:ilvl w:val="1"/>
          <w:numId w:val="17"/>
        </w:numPr>
        <w:tabs>
          <w:tab w:val="left" w:leader="dot" w:pos="8789"/>
        </w:tabs>
        <w:spacing w:line="360" w:lineRule="auto"/>
        <w:ind w:left="709" w:right="1" w:hanging="425"/>
        <w:rPr>
          <w:lang w:val="en-US"/>
        </w:rPr>
      </w:pPr>
      <w:r w:rsidRPr="00584768">
        <w:rPr>
          <w:lang w:val="en-US"/>
        </w:rPr>
        <w:t>Floating capital analysis</w:t>
      </w:r>
      <w:r w:rsidR="002664E4" w:rsidRPr="00584768">
        <w:rPr>
          <w:lang w:val="en-US"/>
        </w:rPr>
        <w:tab/>
      </w:r>
      <w:r w:rsidR="004035DC" w:rsidRPr="00584768">
        <w:rPr>
          <w:lang w:val="en-US"/>
        </w:rPr>
        <w:t>3</w:t>
      </w:r>
      <w:r w:rsidR="004035DC" w:rsidRPr="00584768">
        <w:t>1</w:t>
      </w:r>
    </w:p>
    <w:p w:rsidR="002664E4" w:rsidRPr="00584768" w:rsidRDefault="002664E4" w:rsidP="002664E4">
      <w:pPr>
        <w:pStyle w:val="a3"/>
        <w:numPr>
          <w:ilvl w:val="0"/>
          <w:numId w:val="16"/>
        </w:numPr>
        <w:tabs>
          <w:tab w:val="left" w:leader="dot" w:pos="8789"/>
        </w:tabs>
        <w:spacing w:line="360" w:lineRule="auto"/>
        <w:ind w:left="284" w:right="1" w:hanging="142"/>
        <w:rPr>
          <w:sz w:val="28"/>
          <w:szCs w:val="28"/>
        </w:rPr>
      </w:pPr>
      <w:r w:rsidRPr="00584768">
        <w:rPr>
          <w:sz w:val="28"/>
          <w:szCs w:val="28"/>
          <w:lang w:val="en-US"/>
        </w:rPr>
        <w:t>Liquidity</w:t>
      </w:r>
      <w:r w:rsidRPr="00584768">
        <w:rPr>
          <w:sz w:val="28"/>
          <w:szCs w:val="28"/>
        </w:rPr>
        <w:tab/>
      </w:r>
      <w:r w:rsidRPr="00584768">
        <w:rPr>
          <w:sz w:val="28"/>
          <w:szCs w:val="28"/>
          <w:lang w:val="en-US"/>
        </w:rPr>
        <w:t xml:space="preserve"> </w:t>
      </w:r>
      <w:r w:rsidRPr="00584768">
        <w:rPr>
          <w:lang w:val="en-US"/>
        </w:rPr>
        <w:t>3</w:t>
      </w:r>
      <w:r w:rsidR="004035DC" w:rsidRPr="00584768">
        <w:t>1</w:t>
      </w:r>
    </w:p>
    <w:p w:rsidR="002664E4" w:rsidRPr="00584768" w:rsidRDefault="002664E4" w:rsidP="002664E4">
      <w:pPr>
        <w:pStyle w:val="a3"/>
        <w:numPr>
          <w:ilvl w:val="0"/>
          <w:numId w:val="18"/>
        </w:numPr>
        <w:tabs>
          <w:tab w:val="left" w:leader="dot" w:pos="8789"/>
        </w:tabs>
        <w:spacing w:line="360" w:lineRule="auto"/>
        <w:ind w:left="709" w:right="1" w:hanging="425"/>
      </w:pPr>
      <w:r w:rsidRPr="00584768">
        <w:rPr>
          <w:lang w:val="en-US"/>
        </w:rPr>
        <w:t>Analysis of cash flow</w:t>
      </w:r>
      <w:r w:rsidRPr="00584768">
        <w:tab/>
      </w:r>
      <w:r w:rsidRPr="00584768">
        <w:rPr>
          <w:lang w:val="en-US"/>
        </w:rPr>
        <w:t>3</w:t>
      </w:r>
      <w:r w:rsidR="004035DC" w:rsidRPr="00584768">
        <w:t>1</w:t>
      </w:r>
    </w:p>
    <w:p w:rsidR="002664E4" w:rsidRPr="00584768" w:rsidRDefault="002664E4" w:rsidP="002664E4">
      <w:pPr>
        <w:pStyle w:val="a3"/>
        <w:numPr>
          <w:ilvl w:val="0"/>
          <w:numId w:val="18"/>
        </w:numPr>
        <w:tabs>
          <w:tab w:val="left" w:leader="dot" w:pos="8789"/>
        </w:tabs>
        <w:spacing w:line="360" w:lineRule="auto"/>
        <w:ind w:left="709" w:right="1" w:hanging="425"/>
      </w:pPr>
      <w:r w:rsidRPr="00584768">
        <w:rPr>
          <w:lang w:val="en-US"/>
        </w:rPr>
        <w:t>Analysis of financial sustainability</w:t>
      </w:r>
      <w:r w:rsidRPr="00584768">
        <w:tab/>
      </w:r>
      <w:r w:rsidR="004035DC" w:rsidRPr="00584768">
        <w:rPr>
          <w:lang w:val="en-US"/>
        </w:rPr>
        <w:t>3</w:t>
      </w:r>
      <w:r w:rsidR="004035DC" w:rsidRPr="00584768">
        <w:t>2</w:t>
      </w:r>
    </w:p>
    <w:p w:rsidR="002664E4" w:rsidRPr="00FB1C53" w:rsidRDefault="002664E4" w:rsidP="002664E4">
      <w:pPr>
        <w:tabs>
          <w:tab w:val="left" w:leader="dot" w:pos="8789"/>
        </w:tabs>
        <w:spacing w:line="360" w:lineRule="auto"/>
        <w:ind w:right="1"/>
        <w:rPr>
          <w:sz w:val="28"/>
          <w:szCs w:val="28"/>
          <w:lang w:val="en-US"/>
        </w:rPr>
      </w:pPr>
    </w:p>
    <w:p w:rsidR="002664E4" w:rsidRPr="00FB1C53" w:rsidRDefault="002664E4" w:rsidP="002664E4">
      <w:pPr>
        <w:spacing w:before="150" w:after="150" w:line="360" w:lineRule="atLeast"/>
        <w:ind w:left="2058" w:hanging="357"/>
        <w:jc w:val="both"/>
        <w:rPr>
          <w:rFonts w:ascii="Arial" w:hAnsi="Arial" w:cs="Arial"/>
          <w:sz w:val="40"/>
          <w:szCs w:val="40"/>
          <w:lang w:val="en-US"/>
        </w:rPr>
      </w:pPr>
      <w:r w:rsidRPr="00FB1C53">
        <w:rPr>
          <w:rFonts w:ascii="Arial" w:hAnsi="Arial" w:cs="Arial"/>
          <w:sz w:val="40"/>
          <w:szCs w:val="40"/>
          <w:lang w:val="en-US"/>
        </w:rPr>
        <w:br w:type="page"/>
      </w:r>
    </w:p>
    <w:p w:rsidR="002664E4" w:rsidRPr="009146B6" w:rsidRDefault="002664E4" w:rsidP="002664E4">
      <w:pPr>
        <w:tabs>
          <w:tab w:val="left" w:pos="426"/>
        </w:tabs>
        <w:ind w:left="-709" w:firstLine="709"/>
        <w:jc w:val="both"/>
        <w:rPr>
          <w:sz w:val="22"/>
          <w:szCs w:val="22"/>
          <w:lang w:val="en-US"/>
        </w:rPr>
      </w:pPr>
      <w:r>
        <w:rPr>
          <w:sz w:val="22"/>
          <w:szCs w:val="22"/>
          <w:lang w:val="en-US"/>
        </w:rPr>
        <w:lastRenderedPageBreak/>
        <w:t>Detailed</w:t>
      </w:r>
      <w:r w:rsidRPr="009146B6">
        <w:rPr>
          <w:sz w:val="22"/>
          <w:szCs w:val="22"/>
          <w:lang w:val="en-US"/>
        </w:rPr>
        <w:t xml:space="preserve"> </w:t>
      </w:r>
      <w:r>
        <w:rPr>
          <w:sz w:val="22"/>
          <w:szCs w:val="22"/>
          <w:lang w:val="en-US"/>
        </w:rPr>
        <w:t>analysis</w:t>
      </w:r>
      <w:r w:rsidRPr="009146B6">
        <w:rPr>
          <w:sz w:val="22"/>
          <w:szCs w:val="22"/>
          <w:lang w:val="en-US"/>
        </w:rPr>
        <w:t xml:space="preserve"> </w:t>
      </w:r>
      <w:r>
        <w:rPr>
          <w:sz w:val="22"/>
          <w:szCs w:val="22"/>
          <w:lang w:val="en-US"/>
        </w:rPr>
        <w:t>of</w:t>
      </w:r>
      <w:r w:rsidRPr="009146B6">
        <w:rPr>
          <w:sz w:val="22"/>
          <w:szCs w:val="22"/>
          <w:lang w:val="en-US"/>
        </w:rPr>
        <w:t xml:space="preserve"> </w:t>
      </w:r>
      <w:r>
        <w:rPr>
          <w:sz w:val="22"/>
          <w:szCs w:val="22"/>
          <w:lang w:val="en-US"/>
        </w:rPr>
        <w:t>financial</w:t>
      </w:r>
      <w:r w:rsidRPr="009146B6">
        <w:rPr>
          <w:sz w:val="22"/>
          <w:szCs w:val="22"/>
          <w:lang w:val="en-US"/>
        </w:rPr>
        <w:t xml:space="preserve"> </w:t>
      </w:r>
      <w:r>
        <w:rPr>
          <w:sz w:val="22"/>
          <w:szCs w:val="22"/>
          <w:lang w:val="en-US"/>
        </w:rPr>
        <w:t>s</w:t>
      </w:r>
      <w:r w:rsidRPr="00AC631B">
        <w:rPr>
          <w:sz w:val="22"/>
          <w:szCs w:val="22"/>
          <w:lang w:val="en-US"/>
        </w:rPr>
        <w:t>tatements</w:t>
      </w:r>
      <w:r w:rsidRPr="009146B6">
        <w:rPr>
          <w:sz w:val="44"/>
          <w:szCs w:val="44"/>
          <w:lang w:val="en-US"/>
        </w:rPr>
        <w:t xml:space="preserve"> </w:t>
      </w:r>
      <w:r>
        <w:rPr>
          <w:sz w:val="22"/>
          <w:szCs w:val="22"/>
          <w:lang w:val="en-US"/>
        </w:rPr>
        <w:t>of</w:t>
      </w:r>
      <w:r w:rsidRPr="009146B6">
        <w:rPr>
          <w:sz w:val="22"/>
          <w:szCs w:val="22"/>
          <w:lang w:val="en-US"/>
        </w:rPr>
        <w:t xml:space="preserve"> </w:t>
      </w:r>
      <w:r>
        <w:rPr>
          <w:sz w:val="22"/>
          <w:szCs w:val="22"/>
          <w:lang w:val="en-US"/>
        </w:rPr>
        <w:t xml:space="preserve">JSC </w:t>
      </w:r>
      <w:r w:rsidRPr="009146B6">
        <w:rPr>
          <w:sz w:val="22"/>
          <w:szCs w:val="22"/>
          <w:lang w:val="en-US"/>
        </w:rPr>
        <w:t>“</w:t>
      </w:r>
      <w:r>
        <w:rPr>
          <w:sz w:val="22"/>
          <w:szCs w:val="22"/>
          <w:lang w:val="en-US"/>
        </w:rPr>
        <w:t>SWF</w:t>
      </w:r>
      <w:r w:rsidRPr="009146B6">
        <w:rPr>
          <w:sz w:val="22"/>
          <w:szCs w:val="22"/>
          <w:lang w:val="en-US"/>
        </w:rPr>
        <w:t xml:space="preserve"> “</w:t>
      </w:r>
      <w:r>
        <w:rPr>
          <w:sz w:val="22"/>
          <w:szCs w:val="22"/>
          <w:lang w:val="en-US"/>
        </w:rPr>
        <w:t>Samruk</w:t>
      </w:r>
      <w:r w:rsidRPr="009146B6">
        <w:rPr>
          <w:sz w:val="22"/>
          <w:szCs w:val="22"/>
          <w:lang w:val="en-US"/>
        </w:rPr>
        <w:t>-</w:t>
      </w:r>
      <w:r>
        <w:rPr>
          <w:sz w:val="22"/>
          <w:szCs w:val="22"/>
          <w:lang w:val="en-US"/>
        </w:rPr>
        <w:t>Kazyna</w:t>
      </w:r>
      <w:r w:rsidRPr="009146B6">
        <w:rPr>
          <w:sz w:val="22"/>
          <w:szCs w:val="22"/>
          <w:lang w:val="en-US"/>
        </w:rPr>
        <w:t>” (</w:t>
      </w:r>
      <w:r>
        <w:rPr>
          <w:sz w:val="22"/>
          <w:szCs w:val="22"/>
          <w:lang w:val="en-US"/>
        </w:rPr>
        <w:t>hereinafter</w:t>
      </w:r>
      <w:r w:rsidRPr="009146B6">
        <w:rPr>
          <w:sz w:val="22"/>
          <w:szCs w:val="22"/>
          <w:lang w:val="en-US"/>
        </w:rPr>
        <w:t xml:space="preserve"> – </w:t>
      </w:r>
      <w:r>
        <w:rPr>
          <w:sz w:val="22"/>
          <w:szCs w:val="22"/>
          <w:lang w:val="en-US"/>
        </w:rPr>
        <w:t>the</w:t>
      </w:r>
      <w:r w:rsidRPr="009146B6">
        <w:rPr>
          <w:sz w:val="22"/>
          <w:szCs w:val="22"/>
          <w:lang w:val="en-US"/>
        </w:rPr>
        <w:t xml:space="preserve"> </w:t>
      </w:r>
      <w:r>
        <w:rPr>
          <w:sz w:val="22"/>
          <w:szCs w:val="22"/>
          <w:lang w:val="en-US"/>
        </w:rPr>
        <w:t>Fund</w:t>
      </w:r>
      <w:r w:rsidRPr="009146B6">
        <w:rPr>
          <w:sz w:val="22"/>
          <w:szCs w:val="22"/>
          <w:lang w:val="en-US"/>
        </w:rPr>
        <w:t xml:space="preserve">) </w:t>
      </w:r>
      <w:r>
        <w:rPr>
          <w:sz w:val="22"/>
          <w:szCs w:val="22"/>
          <w:lang w:val="en-US"/>
        </w:rPr>
        <w:t xml:space="preserve">was prepared in addition to the </w:t>
      </w:r>
      <w:r w:rsidR="00D01934">
        <w:rPr>
          <w:sz w:val="22"/>
          <w:szCs w:val="22"/>
          <w:lang w:val="en-US"/>
        </w:rPr>
        <w:t>interim abbreviated</w:t>
      </w:r>
      <w:r>
        <w:rPr>
          <w:sz w:val="22"/>
          <w:szCs w:val="22"/>
          <w:lang w:val="en-US"/>
        </w:rPr>
        <w:t xml:space="preserve"> consolidated and separate financ</w:t>
      </w:r>
      <w:r w:rsidR="00D01934">
        <w:rPr>
          <w:sz w:val="22"/>
          <w:szCs w:val="22"/>
          <w:lang w:val="en-US"/>
        </w:rPr>
        <w:t>ial statements of the Fund for the first half year of 2012</w:t>
      </w:r>
      <w:r>
        <w:rPr>
          <w:sz w:val="22"/>
          <w:szCs w:val="22"/>
          <w:lang w:val="en-US"/>
        </w:rPr>
        <w:t xml:space="preserve">.  </w:t>
      </w:r>
    </w:p>
    <w:p w:rsidR="002664E4" w:rsidRPr="00EB501D" w:rsidRDefault="002664E4" w:rsidP="002664E4">
      <w:pPr>
        <w:tabs>
          <w:tab w:val="left" w:pos="426"/>
        </w:tabs>
        <w:ind w:left="-709" w:firstLine="709"/>
        <w:jc w:val="both"/>
        <w:rPr>
          <w:sz w:val="22"/>
          <w:szCs w:val="22"/>
          <w:lang w:val="en-US"/>
        </w:rPr>
      </w:pPr>
      <w:r>
        <w:rPr>
          <w:sz w:val="22"/>
          <w:szCs w:val="22"/>
          <w:lang w:val="en-US"/>
        </w:rPr>
        <w:t>The</w:t>
      </w:r>
      <w:r w:rsidRPr="004025DC">
        <w:rPr>
          <w:sz w:val="22"/>
          <w:szCs w:val="22"/>
          <w:lang w:val="en-US"/>
        </w:rPr>
        <w:t xml:space="preserve"> </w:t>
      </w:r>
      <w:r>
        <w:rPr>
          <w:sz w:val="22"/>
          <w:szCs w:val="22"/>
          <w:lang w:val="en-US"/>
        </w:rPr>
        <w:t>analysis</w:t>
      </w:r>
      <w:r w:rsidRPr="004025DC">
        <w:rPr>
          <w:sz w:val="22"/>
          <w:szCs w:val="22"/>
          <w:lang w:val="en-US"/>
        </w:rPr>
        <w:t xml:space="preserve"> </w:t>
      </w:r>
      <w:r>
        <w:rPr>
          <w:sz w:val="22"/>
          <w:szCs w:val="22"/>
          <w:lang w:val="en-US"/>
        </w:rPr>
        <w:t>is</w:t>
      </w:r>
      <w:r w:rsidRPr="004025DC">
        <w:rPr>
          <w:sz w:val="22"/>
          <w:szCs w:val="22"/>
          <w:lang w:val="en-US"/>
        </w:rPr>
        <w:t xml:space="preserve"> </w:t>
      </w:r>
      <w:r>
        <w:rPr>
          <w:sz w:val="22"/>
          <w:szCs w:val="22"/>
          <w:lang w:val="en-US"/>
        </w:rPr>
        <w:t>developed</w:t>
      </w:r>
      <w:r w:rsidRPr="004025DC">
        <w:rPr>
          <w:sz w:val="22"/>
          <w:szCs w:val="22"/>
          <w:lang w:val="en-US"/>
        </w:rPr>
        <w:t xml:space="preserve"> </w:t>
      </w:r>
      <w:r>
        <w:rPr>
          <w:sz w:val="22"/>
          <w:szCs w:val="22"/>
          <w:lang w:val="en-US"/>
        </w:rPr>
        <w:t>in</w:t>
      </w:r>
      <w:r w:rsidRPr="004025DC">
        <w:rPr>
          <w:sz w:val="22"/>
          <w:szCs w:val="22"/>
          <w:lang w:val="en-US"/>
        </w:rPr>
        <w:t xml:space="preserve"> </w:t>
      </w:r>
      <w:r>
        <w:rPr>
          <w:sz w:val="22"/>
          <w:szCs w:val="22"/>
          <w:lang w:val="en-US"/>
        </w:rPr>
        <w:t>order</w:t>
      </w:r>
      <w:r w:rsidRPr="004025DC">
        <w:rPr>
          <w:sz w:val="22"/>
          <w:szCs w:val="22"/>
          <w:lang w:val="en-US"/>
        </w:rPr>
        <w:t xml:space="preserve"> </w:t>
      </w:r>
      <w:r>
        <w:rPr>
          <w:sz w:val="22"/>
          <w:szCs w:val="22"/>
          <w:lang w:val="en-US"/>
        </w:rPr>
        <w:t>to</w:t>
      </w:r>
      <w:r w:rsidRPr="004025DC">
        <w:rPr>
          <w:sz w:val="22"/>
          <w:szCs w:val="22"/>
          <w:lang w:val="en-US"/>
        </w:rPr>
        <w:t xml:space="preserve"> </w:t>
      </w:r>
      <w:r>
        <w:rPr>
          <w:sz w:val="22"/>
          <w:szCs w:val="22"/>
          <w:lang w:val="en-US"/>
        </w:rPr>
        <w:t xml:space="preserve">disclose the </w:t>
      </w:r>
      <w:r w:rsidR="00D01934">
        <w:rPr>
          <w:sz w:val="22"/>
          <w:szCs w:val="22"/>
          <w:lang w:val="en-US"/>
        </w:rPr>
        <w:t xml:space="preserve">interim </w:t>
      </w:r>
      <w:r>
        <w:rPr>
          <w:sz w:val="22"/>
          <w:szCs w:val="22"/>
          <w:lang w:val="en-US"/>
        </w:rPr>
        <w:t xml:space="preserve">consolidated financial statements by additional information, to improve transparency of operations, to understand the financial situation and </w:t>
      </w:r>
      <w:r w:rsidR="00D01934">
        <w:rPr>
          <w:sz w:val="22"/>
          <w:szCs w:val="22"/>
          <w:lang w:val="en-US"/>
        </w:rPr>
        <w:t xml:space="preserve">accordingly </w:t>
      </w:r>
      <w:r>
        <w:rPr>
          <w:sz w:val="22"/>
          <w:szCs w:val="22"/>
          <w:lang w:val="en-US"/>
        </w:rPr>
        <w:t xml:space="preserve">performance results of the Fund in the reporting period. </w:t>
      </w:r>
    </w:p>
    <w:p w:rsidR="002664E4" w:rsidRPr="004025DC" w:rsidRDefault="002664E4" w:rsidP="002664E4">
      <w:pPr>
        <w:tabs>
          <w:tab w:val="left" w:pos="426"/>
        </w:tabs>
        <w:ind w:left="-709" w:firstLine="709"/>
        <w:jc w:val="both"/>
        <w:rPr>
          <w:sz w:val="22"/>
          <w:szCs w:val="22"/>
          <w:lang w:val="en-US"/>
        </w:rPr>
      </w:pPr>
      <w:r>
        <w:rPr>
          <w:sz w:val="22"/>
          <w:szCs w:val="22"/>
          <w:lang w:val="en-US"/>
        </w:rPr>
        <w:t>Terms used in the analysis in compliance with the Law o</w:t>
      </w:r>
      <w:r w:rsidR="00FA178C">
        <w:rPr>
          <w:sz w:val="22"/>
          <w:szCs w:val="22"/>
          <w:lang w:val="en-US"/>
        </w:rPr>
        <w:t>f</w:t>
      </w:r>
      <w:r>
        <w:rPr>
          <w:sz w:val="22"/>
          <w:szCs w:val="22"/>
          <w:lang w:val="en-US"/>
        </w:rPr>
        <w:t xml:space="preserve"> </w:t>
      </w:r>
      <w:r w:rsidR="00287F7C">
        <w:rPr>
          <w:sz w:val="22"/>
          <w:szCs w:val="22"/>
          <w:lang w:val="en-US"/>
        </w:rPr>
        <w:t>RK “On Sovereign Wealth Fund” # 550-4 dated February 1, 2012 (in new version)</w:t>
      </w:r>
      <w:r w:rsidRPr="004025DC">
        <w:rPr>
          <w:sz w:val="22"/>
          <w:szCs w:val="22"/>
          <w:lang w:val="en-US"/>
        </w:rPr>
        <w:t>:</w:t>
      </w:r>
    </w:p>
    <w:p w:rsidR="002664E4" w:rsidRPr="004025DC" w:rsidRDefault="002664E4" w:rsidP="002664E4">
      <w:pPr>
        <w:tabs>
          <w:tab w:val="left" w:pos="426"/>
        </w:tabs>
        <w:ind w:left="-709" w:firstLine="709"/>
        <w:jc w:val="both"/>
        <w:rPr>
          <w:sz w:val="22"/>
          <w:szCs w:val="22"/>
          <w:lang w:val="en-US"/>
        </w:rPr>
      </w:pPr>
      <w:r>
        <w:rPr>
          <w:sz w:val="22"/>
          <w:szCs w:val="22"/>
          <w:lang w:val="en-US"/>
        </w:rPr>
        <w:t>Sovereign</w:t>
      </w:r>
      <w:r w:rsidRPr="004025DC">
        <w:rPr>
          <w:sz w:val="22"/>
          <w:szCs w:val="22"/>
          <w:lang w:val="en-US"/>
        </w:rPr>
        <w:t xml:space="preserve"> </w:t>
      </w:r>
      <w:r>
        <w:rPr>
          <w:sz w:val="22"/>
          <w:szCs w:val="22"/>
          <w:lang w:val="en-US"/>
        </w:rPr>
        <w:t>Wealth</w:t>
      </w:r>
      <w:r w:rsidRPr="004025DC">
        <w:rPr>
          <w:sz w:val="22"/>
          <w:szCs w:val="22"/>
          <w:lang w:val="en-US"/>
        </w:rPr>
        <w:t xml:space="preserve"> </w:t>
      </w:r>
      <w:r>
        <w:rPr>
          <w:sz w:val="22"/>
          <w:szCs w:val="22"/>
          <w:lang w:val="en-US"/>
        </w:rPr>
        <w:t>Fund</w:t>
      </w:r>
      <w:r w:rsidRPr="004025DC">
        <w:rPr>
          <w:sz w:val="22"/>
          <w:szCs w:val="22"/>
          <w:lang w:val="en-US"/>
        </w:rPr>
        <w:t xml:space="preserve"> – </w:t>
      </w:r>
      <w:r>
        <w:rPr>
          <w:sz w:val="22"/>
          <w:szCs w:val="22"/>
          <w:lang w:val="en-US"/>
        </w:rPr>
        <w:t>national managing holding</w:t>
      </w:r>
      <w:r w:rsidRPr="004025DC">
        <w:rPr>
          <w:sz w:val="22"/>
          <w:szCs w:val="22"/>
          <w:lang w:val="en-US"/>
        </w:rPr>
        <w:t>.</w:t>
      </w:r>
    </w:p>
    <w:p w:rsidR="002664E4" w:rsidRPr="004025DC" w:rsidRDefault="002664E4" w:rsidP="002664E4">
      <w:pPr>
        <w:tabs>
          <w:tab w:val="left" w:pos="426"/>
        </w:tabs>
        <w:ind w:left="-709" w:firstLine="709"/>
        <w:jc w:val="both"/>
        <w:rPr>
          <w:sz w:val="22"/>
          <w:szCs w:val="22"/>
          <w:lang w:val="en-US"/>
        </w:rPr>
      </w:pPr>
      <w:proofErr w:type="gramStart"/>
      <w:r>
        <w:rPr>
          <w:sz w:val="22"/>
          <w:szCs w:val="22"/>
          <w:lang w:val="en-US"/>
        </w:rPr>
        <w:t>Companies</w:t>
      </w:r>
      <w:r w:rsidRPr="004025DC">
        <w:rPr>
          <w:sz w:val="22"/>
          <w:szCs w:val="22"/>
          <w:lang w:val="en-US"/>
        </w:rPr>
        <w:t xml:space="preserve"> – national development institut</w:t>
      </w:r>
      <w:r>
        <w:rPr>
          <w:sz w:val="22"/>
          <w:szCs w:val="22"/>
          <w:lang w:val="en-US"/>
        </w:rPr>
        <w:t>e</w:t>
      </w:r>
      <w:r w:rsidRPr="004025DC">
        <w:rPr>
          <w:sz w:val="22"/>
          <w:szCs w:val="22"/>
          <w:lang w:val="en-US"/>
        </w:rPr>
        <w:t xml:space="preserve">s, national companies and other entities, </w:t>
      </w:r>
      <w:r>
        <w:rPr>
          <w:sz w:val="22"/>
          <w:szCs w:val="22"/>
          <w:lang w:val="en-US"/>
        </w:rPr>
        <w:t xml:space="preserve">which </w:t>
      </w:r>
      <w:r w:rsidRPr="004025DC">
        <w:rPr>
          <w:sz w:val="22"/>
          <w:szCs w:val="22"/>
          <w:lang w:val="en-US"/>
        </w:rPr>
        <w:t>more than fifty percent of the voting shares (</w:t>
      </w:r>
      <w:r>
        <w:rPr>
          <w:sz w:val="22"/>
          <w:szCs w:val="22"/>
          <w:lang w:val="en-US"/>
        </w:rPr>
        <w:t>interest</w:t>
      </w:r>
      <w:r w:rsidRPr="004025DC">
        <w:rPr>
          <w:sz w:val="22"/>
          <w:szCs w:val="22"/>
          <w:lang w:val="en-US"/>
        </w:rPr>
        <w:t xml:space="preserve">) </w:t>
      </w:r>
      <w:r>
        <w:rPr>
          <w:sz w:val="22"/>
          <w:szCs w:val="22"/>
          <w:lang w:val="en-US"/>
        </w:rPr>
        <w:t>belong</w:t>
      </w:r>
      <w:r w:rsidRPr="004025DC">
        <w:rPr>
          <w:sz w:val="22"/>
          <w:szCs w:val="22"/>
          <w:lang w:val="en-US"/>
        </w:rPr>
        <w:t xml:space="preserve"> to the F</w:t>
      </w:r>
      <w:r>
        <w:rPr>
          <w:sz w:val="22"/>
          <w:szCs w:val="22"/>
          <w:lang w:val="en-US"/>
        </w:rPr>
        <w:t>und</w:t>
      </w:r>
      <w:r w:rsidRPr="004025DC">
        <w:rPr>
          <w:sz w:val="22"/>
          <w:szCs w:val="22"/>
          <w:lang w:val="en-US"/>
        </w:rPr>
        <w:t xml:space="preserve"> on the right of property or </w:t>
      </w:r>
      <w:r>
        <w:rPr>
          <w:sz w:val="22"/>
          <w:szCs w:val="22"/>
          <w:lang w:val="en-US"/>
        </w:rPr>
        <w:t>trust</w:t>
      </w:r>
      <w:r w:rsidRPr="004025DC">
        <w:rPr>
          <w:sz w:val="22"/>
          <w:szCs w:val="22"/>
          <w:lang w:val="en-US"/>
        </w:rPr>
        <w:t xml:space="preserve"> management.</w:t>
      </w:r>
      <w:proofErr w:type="gramEnd"/>
    </w:p>
    <w:p w:rsidR="002664E4" w:rsidRPr="004025DC" w:rsidRDefault="002664E4" w:rsidP="002664E4">
      <w:pPr>
        <w:tabs>
          <w:tab w:val="left" w:pos="426"/>
        </w:tabs>
        <w:ind w:left="-709" w:firstLine="709"/>
        <w:jc w:val="both"/>
        <w:rPr>
          <w:sz w:val="22"/>
          <w:szCs w:val="22"/>
          <w:lang w:val="en-US"/>
        </w:rPr>
      </w:pPr>
      <w:r>
        <w:rPr>
          <w:sz w:val="22"/>
          <w:szCs w:val="22"/>
          <w:lang w:val="en-US"/>
        </w:rPr>
        <w:t>Group</w:t>
      </w:r>
      <w:r w:rsidRPr="004025DC">
        <w:rPr>
          <w:sz w:val="22"/>
          <w:szCs w:val="22"/>
          <w:lang w:val="en-US"/>
        </w:rPr>
        <w:t xml:space="preserve"> </w:t>
      </w:r>
      <w:r>
        <w:rPr>
          <w:sz w:val="22"/>
          <w:szCs w:val="22"/>
          <w:lang w:val="en-US"/>
        </w:rPr>
        <w:t>of</w:t>
      </w:r>
      <w:r w:rsidRPr="004025DC">
        <w:rPr>
          <w:sz w:val="22"/>
          <w:szCs w:val="22"/>
          <w:lang w:val="en-US"/>
        </w:rPr>
        <w:t xml:space="preserve"> </w:t>
      </w:r>
      <w:r>
        <w:rPr>
          <w:sz w:val="22"/>
          <w:szCs w:val="22"/>
          <w:lang w:val="en-US"/>
        </w:rPr>
        <w:t>the</w:t>
      </w:r>
      <w:r w:rsidRPr="004025DC">
        <w:rPr>
          <w:sz w:val="22"/>
          <w:szCs w:val="22"/>
          <w:lang w:val="en-US"/>
        </w:rPr>
        <w:t xml:space="preserve"> </w:t>
      </w:r>
      <w:r>
        <w:rPr>
          <w:sz w:val="22"/>
          <w:szCs w:val="22"/>
          <w:lang w:val="en-US"/>
        </w:rPr>
        <w:t>Fund</w:t>
      </w:r>
      <w:r w:rsidRPr="004025DC">
        <w:rPr>
          <w:sz w:val="22"/>
          <w:szCs w:val="22"/>
          <w:lang w:val="en-US"/>
        </w:rPr>
        <w:t xml:space="preserve"> – Fund, </w:t>
      </w:r>
      <w:r>
        <w:rPr>
          <w:sz w:val="22"/>
          <w:szCs w:val="22"/>
          <w:lang w:val="en-US"/>
        </w:rPr>
        <w:t>C</w:t>
      </w:r>
      <w:r w:rsidRPr="004025DC">
        <w:rPr>
          <w:sz w:val="22"/>
          <w:szCs w:val="22"/>
          <w:lang w:val="en-US"/>
        </w:rPr>
        <w:t xml:space="preserve">ompany, their subsidiaries, </w:t>
      </w:r>
      <w:r>
        <w:rPr>
          <w:sz w:val="22"/>
          <w:szCs w:val="22"/>
          <w:lang w:val="en-US"/>
        </w:rPr>
        <w:t xml:space="preserve">which </w:t>
      </w:r>
      <w:r w:rsidRPr="004025DC">
        <w:rPr>
          <w:sz w:val="22"/>
          <w:szCs w:val="22"/>
          <w:lang w:val="en-US"/>
        </w:rPr>
        <w:t>more than fifty percent of the voting shares (</w:t>
      </w:r>
      <w:r>
        <w:rPr>
          <w:sz w:val="22"/>
          <w:szCs w:val="22"/>
          <w:lang w:val="en-US"/>
        </w:rPr>
        <w:t>interest</w:t>
      </w:r>
      <w:r w:rsidRPr="004025DC">
        <w:rPr>
          <w:sz w:val="22"/>
          <w:szCs w:val="22"/>
          <w:lang w:val="en-US"/>
        </w:rPr>
        <w:t xml:space="preserve">) </w:t>
      </w:r>
      <w:r>
        <w:rPr>
          <w:sz w:val="22"/>
          <w:szCs w:val="22"/>
          <w:lang w:val="en-US"/>
        </w:rPr>
        <w:t>are owned by</w:t>
      </w:r>
      <w:r w:rsidRPr="004025DC">
        <w:rPr>
          <w:sz w:val="22"/>
          <w:szCs w:val="22"/>
          <w:lang w:val="en-US"/>
        </w:rPr>
        <w:t xml:space="preserve"> the </w:t>
      </w:r>
      <w:r>
        <w:rPr>
          <w:sz w:val="22"/>
          <w:szCs w:val="22"/>
          <w:lang w:val="en-US"/>
        </w:rPr>
        <w:t>C</w:t>
      </w:r>
      <w:r w:rsidRPr="004025DC">
        <w:rPr>
          <w:sz w:val="22"/>
          <w:szCs w:val="22"/>
          <w:lang w:val="en-US"/>
        </w:rPr>
        <w:t xml:space="preserve">ompanies, as well as legal </w:t>
      </w:r>
      <w:r>
        <w:rPr>
          <w:sz w:val="22"/>
          <w:szCs w:val="22"/>
          <w:lang w:val="en-US"/>
        </w:rPr>
        <w:t>entities</w:t>
      </w:r>
      <w:r w:rsidRPr="004025DC">
        <w:rPr>
          <w:sz w:val="22"/>
          <w:szCs w:val="22"/>
          <w:lang w:val="en-US"/>
        </w:rPr>
        <w:t xml:space="preserve">, </w:t>
      </w:r>
      <w:r>
        <w:rPr>
          <w:sz w:val="22"/>
          <w:szCs w:val="22"/>
          <w:lang w:val="en-US"/>
        </w:rPr>
        <w:t xml:space="preserve">which </w:t>
      </w:r>
      <w:r w:rsidRPr="004025DC">
        <w:rPr>
          <w:sz w:val="22"/>
          <w:szCs w:val="22"/>
          <w:lang w:val="en-US"/>
        </w:rPr>
        <w:t>more than fifty percent of the voting shares (</w:t>
      </w:r>
      <w:r>
        <w:rPr>
          <w:sz w:val="22"/>
          <w:szCs w:val="22"/>
          <w:lang w:val="en-US"/>
        </w:rPr>
        <w:t>interest</w:t>
      </w:r>
      <w:r w:rsidRPr="004025DC">
        <w:rPr>
          <w:sz w:val="22"/>
          <w:szCs w:val="22"/>
          <w:lang w:val="en-US"/>
        </w:rPr>
        <w:t xml:space="preserve">) </w:t>
      </w:r>
      <w:r>
        <w:rPr>
          <w:sz w:val="22"/>
          <w:szCs w:val="22"/>
          <w:lang w:val="en-US"/>
        </w:rPr>
        <w:t>are</w:t>
      </w:r>
      <w:r w:rsidRPr="004025DC">
        <w:rPr>
          <w:sz w:val="22"/>
          <w:szCs w:val="22"/>
          <w:lang w:val="en-US"/>
        </w:rPr>
        <w:t xml:space="preserve"> owned </w:t>
      </w:r>
      <w:r>
        <w:rPr>
          <w:sz w:val="22"/>
          <w:szCs w:val="22"/>
          <w:lang w:val="en-US"/>
        </w:rPr>
        <w:t xml:space="preserve">by the </w:t>
      </w:r>
      <w:r w:rsidRPr="004025DC">
        <w:rPr>
          <w:sz w:val="22"/>
          <w:szCs w:val="22"/>
          <w:lang w:val="en-US"/>
        </w:rPr>
        <w:t xml:space="preserve">subsidiaries </w:t>
      </w:r>
      <w:r>
        <w:rPr>
          <w:sz w:val="22"/>
          <w:szCs w:val="22"/>
          <w:lang w:val="en-US"/>
        </w:rPr>
        <w:t xml:space="preserve">of the </w:t>
      </w:r>
      <w:r w:rsidRPr="004025DC">
        <w:rPr>
          <w:sz w:val="22"/>
          <w:szCs w:val="22"/>
          <w:lang w:val="en-US"/>
        </w:rPr>
        <w:t xml:space="preserve">listed </w:t>
      </w:r>
      <w:r>
        <w:rPr>
          <w:sz w:val="22"/>
          <w:szCs w:val="22"/>
          <w:lang w:val="en-US"/>
        </w:rPr>
        <w:t>C</w:t>
      </w:r>
      <w:r w:rsidRPr="004025DC">
        <w:rPr>
          <w:sz w:val="22"/>
          <w:szCs w:val="22"/>
          <w:lang w:val="en-US"/>
        </w:rPr>
        <w:t xml:space="preserve">ompanies (hereinafter - the Group </w:t>
      </w:r>
      <w:r>
        <w:rPr>
          <w:sz w:val="22"/>
          <w:szCs w:val="22"/>
          <w:lang w:val="en-US"/>
        </w:rPr>
        <w:t xml:space="preserve">of the </w:t>
      </w:r>
      <w:r w:rsidRPr="004025DC">
        <w:rPr>
          <w:sz w:val="22"/>
          <w:szCs w:val="22"/>
          <w:lang w:val="en-US"/>
        </w:rPr>
        <w:t>Fund).</w:t>
      </w:r>
    </w:p>
    <w:p w:rsidR="002664E4" w:rsidRPr="004025DC" w:rsidRDefault="002664E4" w:rsidP="002664E4">
      <w:pPr>
        <w:tabs>
          <w:tab w:val="left" w:pos="426"/>
        </w:tabs>
        <w:ind w:left="-709" w:firstLine="709"/>
        <w:jc w:val="both"/>
        <w:rPr>
          <w:sz w:val="22"/>
          <w:szCs w:val="22"/>
          <w:lang w:val="en-US"/>
        </w:rPr>
      </w:pPr>
      <w:r>
        <w:rPr>
          <w:sz w:val="22"/>
          <w:szCs w:val="22"/>
          <w:lang w:val="en-US"/>
        </w:rPr>
        <w:t>At that, the Group of the Fund does not include</w:t>
      </w:r>
      <w:r w:rsidRPr="004025DC">
        <w:rPr>
          <w:sz w:val="22"/>
          <w:szCs w:val="22"/>
          <w:lang w:val="en-US"/>
        </w:rPr>
        <w:t>:</w:t>
      </w:r>
    </w:p>
    <w:p w:rsidR="002664E4" w:rsidRPr="004025DC" w:rsidRDefault="002664E4" w:rsidP="007348E3">
      <w:pPr>
        <w:pStyle w:val="a3"/>
        <w:numPr>
          <w:ilvl w:val="0"/>
          <w:numId w:val="11"/>
        </w:numPr>
        <w:tabs>
          <w:tab w:val="left" w:pos="284"/>
        </w:tabs>
        <w:ind w:left="-709" w:firstLine="709"/>
        <w:jc w:val="both"/>
        <w:rPr>
          <w:sz w:val="22"/>
          <w:szCs w:val="22"/>
          <w:lang w:val="en-US"/>
        </w:rPr>
      </w:pPr>
      <w:r w:rsidRPr="004025DC">
        <w:rPr>
          <w:sz w:val="22"/>
          <w:szCs w:val="22"/>
          <w:lang w:val="en-US"/>
        </w:rPr>
        <w:t xml:space="preserve">legal </w:t>
      </w:r>
      <w:r>
        <w:rPr>
          <w:sz w:val="22"/>
          <w:szCs w:val="22"/>
          <w:lang w:val="en-US"/>
        </w:rPr>
        <w:t>entities which</w:t>
      </w:r>
      <w:r w:rsidRPr="004025DC">
        <w:rPr>
          <w:sz w:val="22"/>
          <w:szCs w:val="22"/>
          <w:lang w:val="en-US"/>
        </w:rPr>
        <w:t xml:space="preserve"> shares (</w:t>
      </w:r>
      <w:r>
        <w:rPr>
          <w:sz w:val="22"/>
          <w:szCs w:val="22"/>
          <w:lang w:val="en-US"/>
        </w:rPr>
        <w:t>interest</w:t>
      </w:r>
      <w:r w:rsidRPr="004025DC">
        <w:rPr>
          <w:sz w:val="22"/>
          <w:szCs w:val="22"/>
          <w:lang w:val="en-US"/>
        </w:rPr>
        <w:t xml:space="preserve">) </w:t>
      </w:r>
      <w:r>
        <w:rPr>
          <w:sz w:val="22"/>
          <w:szCs w:val="22"/>
          <w:lang w:val="en-US"/>
        </w:rPr>
        <w:t xml:space="preserve"> were transferred to the ownership of the bank of </w:t>
      </w:r>
      <w:r w:rsidRPr="004025DC">
        <w:rPr>
          <w:sz w:val="22"/>
          <w:szCs w:val="22"/>
          <w:lang w:val="en-US"/>
        </w:rPr>
        <w:t xml:space="preserve">the </w:t>
      </w:r>
      <w:r>
        <w:rPr>
          <w:sz w:val="22"/>
          <w:szCs w:val="22"/>
          <w:lang w:val="en-US"/>
        </w:rPr>
        <w:t>G</w:t>
      </w:r>
      <w:r w:rsidRPr="004025DC">
        <w:rPr>
          <w:sz w:val="22"/>
          <w:szCs w:val="22"/>
          <w:lang w:val="en-US"/>
        </w:rPr>
        <w:t>roup</w:t>
      </w:r>
      <w:r>
        <w:rPr>
          <w:sz w:val="22"/>
          <w:szCs w:val="22"/>
          <w:lang w:val="en-US"/>
        </w:rPr>
        <w:t xml:space="preserve"> of the F</w:t>
      </w:r>
      <w:r w:rsidRPr="004025DC">
        <w:rPr>
          <w:sz w:val="22"/>
          <w:szCs w:val="22"/>
          <w:lang w:val="en-US"/>
        </w:rPr>
        <w:t xml:space="preserve">und, </w:t>
      </w:r>
      <w:r>
        <w:rPr>
          <w:sz w:val="22"/>
          <w:szCs w:val="22"/>
          <w:lang w:val="en-US"/>
        </w:rPr>
        <w:t xml:space="preserve">in the announcement of tender </w:t>
      </w:r>
      <w:r w:rsidRPr="004025DC">
        <w:rPr>
          <w:sz w:val="22"/>
          <w:szCs w:val="22"/>
          <w:lang w:val="en-US"/>
        </w:rPr>
        <w:t>for the sale of pledged shares (</w:t>
      </w:r>
      <w:r>
        <w:rPr>
          <w:sz w:val="22"/>
          <w:szCs w:val="22"/>
          <w:lang w:val="en-US"/>
        </w:rPr>
        <w:t>interest</w:t>
      </w:r>
      <w:r w:rsidRPr="004025DC">
        <w:rPr>
          <w:sz w:val="22"/>
          <w:szCs w:val="22"/>
          <w:lang w:val="en-US"/>
        </w:rPr>
        <w:t xml:space="preserve">) </w:t>
      </w:r>
      <w:r>
        <w:rPr>
          <w:sz w:val="22"/>
          <w:szCs w:val="22"/>
          <w:lang w:val="en-US"/>
        </w:rPr>
        <w:t xml:space="preserve"> invalid</w:t>
      </w:r>
      <w:r w:rsidRPr="004025DC">
        <w:rPr>
          <w:sz w:val="22"/>
          <w:szCs w:val="22"/>
          <w:lang w:val="en-US"/>
        </w:rPr>
        <w:t xml:space="preserve"> in </w:t>
      </w:r>
      <w:r>
        <w:rPr>
          <w:sz w:val="22"/>
          <w:szCs w:val="22"/>
          <w:lang w:val="en-US"/>
        </w:rPr>
        <w:t>compliance with the c</w:t>
      </w:r>
      <w:r w:rsidRPr="004025DC">
        <w:rPr>
          <w:sz w:val="22"/>
          <w:szCs w:val="22"/>
          <w:lang w:val="en-US"/>
        </w:rPr>
        <w:t>ivil legislation of the Republic of Kazakhstan;</w:t>
      </w:r>
    </w:p>
    <w:p w:rsidR="002664E4" w:rsidRPr="007E4A28" w:rsidRDefault="002664E4" w:rsidP="007348E3">
      <w:pPr>
        <w:pStyle w:val="a3"/>
        <w:numPr>
          <w:ilvl w:val="0"/>
          <w:numId w:val="11"/>
        </w:numPr>
        <w:tabs>
          <w:tab w:val="left" w:pos="284"/>
        </w:tabs>
        <w:ind w:left="-709" w:firstLine="709"/>
        <w:jc w:val="both"/>
        <w:rPr>
          <w:sz w:val="22"/>
          <w:szCs w:val="22"/>
          <w:lang w:val="en-US"/>
        </w:rPr>
      </w:pPr>
      <w:r w:rsidRPr="007E4A28">
        <w:rPr>
          <w:sz w:val="22"/>
          <w:szCs w:val="22"/>
          <w:lang w:val="en-US"/>
        </w:rPr>
        <w:t>banks, wh</w:t>
      </w:r>
      <w:r>
        <w:rPr>
          <w:sz w:val="22"/>
          <w:szCs w:val="22"/>
          <w:lang w:val="en-US"/>
        </w:rPr>
        <w:t>ich</w:t>
      </w:r>
      <w:r w:rsidRPr="007E4A28">
        <w:rPr>
          <w:sz w:val="22"/>
          <w:szCs w:val="22"/>
          <w:lang w:val="en-US"/>
        </w:rPr>
        <w:t xml:space="preserve"> shares </w:t>
      </w:r>
      <w:r>
        <w:rPr>
          <w:sz w:val="22"/>
          <w:szCs w:val="22"/>
          <w:lang w:val="en-US"/>
        </w:rPr>
        <w:t xml:space="preserve">were transferred </w:t>
      </w:r>
      <w:r w:rsidRPr="007E4A28">
        <w:rPr>
          <w:sz w:val="22"/>
          <w:szCs w:val="22"/>
          <w:lang w:val="en-US"/>
        </w:rPr>
        <w:t xml:space="preserve">to the ownership of the Fund by </w:t>
      </w:r>
      <w:r>
        <w:rPr>
          <w:sz w:val="22"/>
          <w:szCs w:val="22"/>
          <w:lang w:val="en-US"/>
        </w:rPr>
        <w:t>Resolution</w:t>
      </w:r>
      <w:r w:rsidRPr="007E4A28">
        <w:rPr>
          <w:sz w:val="22"/>
          <w:szCs w:val="22"/>
          <w:lang w:val="en-US"/>
        </w:rPr>
        <w:t xml:space="preserve"> of the Government of the Republic of Kazakhstan in accordance with the </w:t>
      </w:r>
      <w:r>
        <w:rPr>
          <w:sz w:val="22"/>
          <w:szCs w:val="22"/>
          <w:lang w:val="en-US"/>
        </w:rPr>
        <w:t>legislation</w:t>
      </w:r>
      <w:r w:rsidRPr="007E4A28">
        <w:rPr>
          <w:sz w:val="22"/>
          <w:szCs w:val="22"/>
          <w:lang w:val="en-US"/>
        </w:rPr>
        <w:t xml:space="preserve"> of Kazakhstan in order to protect the interests of creditors and to ensure stability of the banking system of Kazakhstan.</w:t>
      </w:r>
    </w:p>
    <w:p w:rsidR="002664E4" w:rsidRPr="007E4A28" w:rsidRDefault="002664E4" w:rsidP="002664E4">
      <w:pPr>
        <w:pStyle w:val="a3"/>
        <w:tabs>
          <w:tab w:val="left" w:pos="426"/>
        </w:tabs>
        <w:ind w:left="0"/>
        <w:jc w:val="both"/>
        <w:rPr>
          <w:b/>
          <w:sz w:val="22"/>
          <w:szCs w:val="22"/>
          <w:lang w:val="en-US"/>
        </w:rPr>
      </w:pPr>
    </w:p>
    <w:p w:rsidR="002664E4" w:rsidRPr="001E7106" w:rsidRDefault="002664E4" w:rsidP="002664E4">
      <w:pPr>
        <w:pStyle w:val="a3"/>
        <w:numPr>
          <w:ilvl w:val="0"/>
          <w:numId w:val="2"/>
        </w:numPr>
        <w:tabs>
          <w:tab w:val="left" w:pos="426"/>
        </w:tabs>
        <w:ind w:left="-709" w:firstLine="709"/>
        <w:jc w:val="both"/>
        <w:rPr>
          <w:b/>
          <w:sz w:val="22"/>
          <w:szCs w:val="22"/>
        </w:rPr>
      </w:pPr>
      <w:r>
        <w:rPr>
          <w:b/>
          <w:sz w:val="22"/>
          <w:szCs w:val="22"/>
          <w:lang w:val="en-US"/>
        </w:rPr>
        <w:t>Review</w:t>
      </w:r>
      <w:r w:rsidR="009A3F7B">
        <w:rPr>
          <w:b/>
          <w:sz w:val="22"/>
          <w:szCs w:val="22"/>
          <w:lang w:val="en-US"/>
        </w:rPr>
        <w:t xml:space="preserve"> of the Fund’s Group</w:t>
      </w:r>
    </w:p>
    <w:p w:rsidR="002664E4" w:rsidRPr="007E4A28" w:rsidRDefault="002664E4" w:rsidP="002664E4">
      <w:pPr>
        <w:pStyle w:val="Style12"/>
        <w:widowControl/>
        <w:spacing w:before="34" w:line="274" w:lineRule="exact"/>
        <w:ind w:left="-567" w:right="5" w:firstLine="567"/>
        <w:rPr>
          <w:rStyle w:val="FontStyle75"/>
          <w:lang w:val="en-US"/>
        </w:rPr>
      </w:pPr>
      <w:r w:rsidRPr="007E4A28">
        <w:rPr>
          <w:sz w:val="22"/>
          <w:szCs w:val="22"/>
          <w:lang w:val="en-US"/>
        </w:rPr>
        <w:t xml:space="preserve">Joint Stock </w:t>
      </w:r>
      <w:r>
        <w:rPr>
          <w:sz w:val="22"/>
          <w:szCs w:val="22"/>
          <w:lang w:val="en-US"/>
        </w:rPr>
        <w:t xml:space="preserve">Company </w:t>
      </w:r>
      <w:r w:rsidRPr="007E4A28">
        <w:rPr>
          <w:sz w:val="22"/>
          <w:szCs w:val="22"/>
          <w:lang w:val="en-US"/>
        </w:rPr>
        <w:t xml:space="preserve"> “Sovereign Wealth Fund “Samruk-Kazyna” (hereinafter referred to as “Fund”) was established by the Decree of the President of the Republic of Kazakhstan # 669 </w:t>
      </w:r>
      <w:r>
        <w:rPr>
          <w:sz w:val="22"/>
          <w:szCs w:val="22"/>
          <w:lang w:val="en-US"/>
        </w:rPr>
        <w:t>dated</w:t>
      </w:r>
      <w:r w:rsidRPr="007E4A28">
        <w:rPr>
          <w:sz w:val="22"/>
          <w:szCs w:val="22"/>
          <w:lang w:val="en-US"/>
        </w:rPr>
        <w:t xml:space="preserve"> October 13, 2008, “On Certain Measures to Ensure Competitiveness and Sustainability of National Economy” and </w:t>
      </w:r>
      <w:r>
        <w:rPr>
          <w:sz w:val="22"/>
          <w:szCs w:val="22"/>
          <w:lang w:val="en-US"/>
        </w:rPr>
        <w:t>the Decree</w:t>
      </w:r>
      <w:r w:rsidRPr="007E4A28">
        <w:rPr>
          <w:sz w:val="22"/>
          <w:szCs w:val="22"/>
          <w:lang w:val="en-US"/>
        </w:rPr>
        <w:t xml:space="preserve"> of the Government of the Republic of Kazakhstan # 962 </w:t>
      </w:r>
      <w:r>
        <w:rPr>
          <w:sz w:val="22"/>
          <w:szCs w:val="22"/>
          <w:lang w:val="en-US"/>
        </w:rPr>
        <w:t>dated</w:t>
      </w:r>
      <w:r w:rsidRPr="007E4A28">
        <w:rPr>
          <w:sz w:val="22"/>
          <w:szCs w:val="22"/>
          <w:lang w:val="en-US"/>
        </w:rPr>
        <w:t xml:space="preserve"> October 17, 2008, “On Measures to Implement </w:t>
      </w:r>
      <w:r>
        <w:rPr>
          <w:sz w:val="22"/>
          <w:szCs w:val="22"/>
          <w:lang w:val="en-US"/>
        </w:rPr>
        <w:t xml:space="preserve">the </w:t>
      </w:r>
      <w:r w:rsidRPr="007E4A28">
        <w:rPr>
          <w:sz w:val="22"/>
          <w:szCs w:val="22"/>
          <w:lang w:val="en-US"/>
        </w:rPr>
        <w:t>Decree of the President of the Republic of Kazakhstan # 669</w:t>
      </w:r>
      <w:r>
        <w:rPr>
          <w:sz w:val="22"/>
          <w:szCs w:val="22"/>
          <w:lang w:val="en-US"/>
        </w:rPr>
        <w:t xml:space="preserve"> dated </w:t>
      </w:r>
      <w:r w:rsidRPr="007E4A28">
        <w:rPr>
          <w:sz w:val="22"/>
          <w:szCs w:val="22"/>
          <w:lang w:val="en-US"/>
        </w:rPr>
        <w:t xml:space="preserve">October 13, 2008,” by merging Joint Stock </w:t>
      </w:r>
      <w:r>
        <w:rPr>
          <w:sz w:val="22"/>
          <w:szCs w:val="22"/>
          <w:lang w:val="en-US"/>
        </w:rPr>
        <w:t xml:space="preserve">Company </w:t>
      </w:r>
      <w:r w:rsidRPr="007E4A28">
        <w:rPr>
          <w:sz w:val="22"/>
          <w:szCs w:val="22"/>
          <w:lang w:val="en-US"/>
        </w:rPr>
        <w:t xml:space="preserve"> </w:t>
      </w:r>
      <w:r>
        <w:rPr>
          <w:iCs/>
          <w:sz w:val="22"/>
          <w:szCs w:val="22"/>
          <w:lang w:val="en-US"/>
        </w:rPr>
        <w:t xml:space="preserve"> “</w:t>
      </w:r>
      <w:r w:rsidRPr="007E4A28">
        <w:rPr>
          <w:sz w:val="22"/>
          <w:szCs w:val="22"/>
          <w:lang w:val="en-US"/>
        </w:rPr>
        <w:t>Sustainable Development Fund</w:t>
      </w:r>
      <w:r>
        <w:rPr>
          <w:sz w:val="22"/>
          <w:szCs w:val="22"/>
          <w:lang w:val="en-US"/>
        </w:rPr>
        <w:t xml:space="preserve"> “Kazyna”</w:t>
      </w:r>
      <w:r w:rsidRPr="007E4A28">
        <w:rPr>
          <w:sz w:val="22"/>
          <w:szCs w:val="22"/>
          <w:lang w:val="en-US"/>
        </w:rPr>
        <w:t xml:space="preserve"> and Joint Stock </w:t>
      </w:r>
      <w:r>
        <w:rPr>
          <w:sz w:val="22"/>
          <w:szCs w:val="22"/>
          <w:lang w:val="en-US"/>
        </w:rPr>
        <w:t>Company</w:t>
      </w:r>
      <w:r w:rsidRPr="007E4A28">
        <w:rPr>
          <w:sz w:val="22"/>
          <w:szCs w:val="22"/>
          <w:lang w:val="en-US"/>
        </w:rPr>
        <w:t xml:space="preserve"> </w:t>
      </w:r>
      <w:r>
        <w:rPr>
          <w:sz w:val="22"/>
          <w:szCs w:val="22"/>
          <w:lang w:val="en-US"/>
        </w:rPr>
        <w:t>“</w:t>
      </w:r>
      <w:r w:rsidRPr="007E4A28">
        <w:rPr>
          <w:sz w:val="22"/>
          <w:szCs w:val="22"/>
          <w:lang w:val="en-US"/>
        </w:rPr>
        <w:t xml:space="preserve">Kazakhstan Fund for the Management of State Assets </w:t>
      </w:r>
      <w:r>
        <w:rPr>
          <w:sz w:val="22"/>
          <w:szCs w:val="22"/>
          <w:lang w:val="en-US"/>
        </w:rPr>
        <w:t>“</w:t>
      </w:r>
      <w:r>
        <w:rPr>
          <w:iCs/>
          <w:sz w:val="22"/>
          <w:szCs w:val="22"/>
          <w:lang w:val="en-US"/>
        </w:rPr>
        <w:t>S</w:t>
      </w:r>
      <w:r w:rsidRPr="007E4A28">
        <w:rPr>
          <w:iCs/>
          <w:sz w:val="22"/>
          <w:szCs w:val="22"/>
          <w:lang w:val="en-US"/>
        </w:rPr>
        <w:t>amruk</w:t>
      </w:r>
      <w:r>
        <w:rPr>
          <w:iCs/>
          <w:sz w:val="22"/>
          <w:szCs w:val="22"/>
          <w:lang w:val="en-US"/>
        </w:rPr>
        <w:t>”</w:t>
      </w:r>
      <w:r w:rsidRPr="007E4A28">
        <w:rPr>
          <w:rStyle w:val="FontStyle75"/>
          <w:lang w:val="en-US"/>
        </w:rPr>
        <w:t>.</w:t>
      </w:r>
    </w:p>
    <w:p w:rsidR="00287F7C" w:rsidRPr="00560D5D" w:rsidRDefault="00287F7C" w:rsidP="00287F7C">
      <w:pPr>
        <w:tabs>
          <w:tab w:val="left" w:pos="426"/>
        </w:tabs>
        <w:ind w:left="-709" w:firstLine="709"/>
        <w:jc w:val="both"/>
        <w:rPr>
          <w:color w:val="000000"/>
          <w:sz w:val="22"/>
          <w:szCs w:val="22"/>
          <w:lang w:val="en-US"/>
        </w:rPr>
      </w:pPr>
      <w:r>
        <w:rPr>
          <w:rStyle w:val="s0"/>
          <w:sz w:val="22"/>
          <w:szCs w:val="22"/>
          <w:lang w:val="en-US"/>
        </w:rPr>
        <w:t>T</w:t>
      </w:r>
      <w:r w:rsidRPr="00287F7C">
        <w:rPr>
          <w:rStyle w:val="s0"/>
          <w:sz w:val="22"/>
          <w:szCs w:val="22"/>
          <w:lang w:val="en-US"/>
        </w:rPr>
        <w:t xml:space="preserve">he activities of the Fund is regulated by the Law </w:t>
      </w:r>
      <w:r>
        <w:rPr>
          <w:rStyle w:val="s0"/>
          <w:sz w:val="22"/>
          <w:szCs w:val="22"/>
          <w:lang w:val="en-US"/>
        </w:rPr>
        <w:t>“</w:t>
      </w:r>
      <w:r>
        <w:rPr>
          <w:sz w:val="22"/>
          <w:szCs w:val="22"/>
          <w:lang w:val="en-US"/>
        </w:rPr>
        <w:t>On Sovereign Wealth Fund”</w:t>
      </w:r>
      <w:r w:rsidRPr="00287F7C">
        <w:rPr>
          <w:rStyle w:val="s0"/>
          <w:sz w:val="22"/>
          <w:szCs w:val="22"/>
          <w:lang w:val="en-US"/>
        </w:rPr>
        <w:t xml:space="preserve"> </w:t>
      </w:r>
      <w:r w:rsidR="00A4597C">
        <w:rPr>
          <w:rStyle w:val="s0"/>
          <w:sz w:val="22"/>
          <w:szCs w:val="22"/>
          <w:lang w:val="en-US"/>
        </w:rPr>
        <w:t>#</w:t>
      </w:r>
      <w:r w:rsidRPr="00287F7C">
        <w:rPr>
          <w:rStyle w:val="s0"/>
          <w:sz w:val="22"/>
          <w:szCs w:val="22"/>
          <w:lang w:val="en-US"/>
        </w:rPr>
        <w:t xml:space="preserve"> 550-4, </w:t>
      </w:r>
      <w:r w:rsidRPr="00560D5D">
        <w:rPr>
          <w:color w:val="000000"/>
          <w:sz w:val="22"/>
          <w:szCs w:val="22"/>
          <w:lang w:val="en-US"/>
        </w:rPr>
        <w:t xml:space="preserve">as well as </w:t>
      </w:r>
      <w:proofErr w:type="spellStart"/>
      <w:r w:rsidRPr="00560D5D">
        <w:rPr>
          <w:color w:val="000000"/>
          <w:sz w:val="22"/>
          <w:szCs w:val="22"/>
          <w:lang w:val="en-US"/>
        </w:rPr>
        <w:t>sectoral</w:t>
      </w:r>
      <w:proofErr w:type="spellEnd"/>
      <w:r w:rsidRPr="00560D5D">
        <w:rPr>
          <w:color w:val="000000"/>
          <w:sz w:val="22"/>
          <w:szCs w:val="22"/>
          <w:lang w:val="en-US"/>
        </w:rPr>
        <w:t xml:space="preserve"> </w:t>
      </w:r>
      <w:r>
        <w:rPr>
          <w:color w:val="000000"/>
          <w:sz w:val="22"/>
          <w:szCs w:val="22"/>
          <w:lang w:val="en-US"/>
        </w:rPr>
        <w:t>L</w:t>
      </w:r>
      <w:r w:rsidRPr="00560D5D">
        <w:rPr>
          <w:color w:val="000000"/>
          <w:sz w:val="22"/>
          <w:szCs w:val="22"/>
          <w:lang w:val="en-US"/>
        </w:rPr>
        <w:t xml:space="preserve">aws of the Republic of Kazakhstan, </w:t>
      </w:r>
      <w:r>
        <w:rPr>
          <w:color w:val="000000"/>
          <w:sz w:val="22"/>
          <w:szCs w:val="22"/>
          <w:lang w:val="en-US"/>
        </w:rPr>
        <w:t>Tax</w:t>
      </w:r>
      <w:r w:rsidRPr="00560D5D">
        <w:rPr>
          <w:color w:val="000000"/>
          <w:sz w:val="22"/>
          <w:szCs w:val="22"/>
          <w:lang w:val="en-US"/>
        </w:rPr>
        <w:t xml:space="preserve"> Code, Budget Code, </w:t>
      </w:r>
      <w:r>
        <w:rPr>
          <w:color w:val="000000"/>
          <w:sz w:val="22"/>
          <w:szCs w:val="22"/>
          <w:lang w:val="en-US"/>
        </w:rPr>
        <w:t xml:space="preserve">on </w:t>
      </w:r>
      <w:r w:rsidRPr="00560D5D">
        <w:rPr>
          <w:color w:val="000000"/>
          <w:sz w:val="22"/>
          <w:szCs w:val="22"/>
          <w:lang w:val="en-US"/>
        </w:rPr>
        <w:t xml:space="preserve">State </w:t>
      </w:r>
      <w:r>
        <w:rPr>
          <w:color w:val="000000"/>
          <w:sz w:val="22"/>
          <w:szCs w:val="22"/>
          <w:lang w:val="en-US"/>
        </w:rPr>
        <w:t>Property</w:t>
      </w:r>
      <w:r w:rsidRPr="00560D5D">
        <w:rPr>
          <w:color w:val="000000"/>
          <w:sz w:val="22"/>
          <w:szCs w:val="22"/>
          <w:lang w:val="en-US"/>
        </w:rPr>
        <w:t xml:space="preserve"> and certain regulations of public authorities</w:t>
      </w:r>
      <w:r>
        <w:rPr>
          <w:color w:val="000000"/>
          <w:sz w:val="22"/>
          <w:szCs w:val="22"/>
          <w:lang w:val="en-US"/>
        </w:rPr>
        <w:t>,</w:t>
      </w:r>
      <w:r w:rsidRPr="00560D5D">
        <w:rPr>
          <w:color w:val="000000"/>
          <w:sz w:val="22"/>
          <w:szCs w:val="22"/>
          <w:lang w:val="en-US"/>
        </w:rPr>
        <w:t xml:space="preserve"> on joint stock companies. In addition, the provision of services, works and goods by </w:t>
      </w:r>
      <w:r>
        <w:rPr>
          <w:color w:val="000000"/>
          <w:sz w:val="22"/>
          <w:szCs w:val="22"/>
          <w:lang w:val="en-US"/>
        </w:rPr>
        <w:t>some C</w:t>
      </w:r>
      <w:r w:rsidRPr="00560D5D">
        <w:rPr>
          <w:color w:val="000000"/>
          <w:sz w:val="22"/>
          <w:szCs w:val="22"/>
          <w:lang w:val="en-US"/>
        </w:rPr>
        <w:t xml:space="preserve">ompanies </w:t>
      </w:r>
      <w:r>
        <w:rPr>
          <w:color w:val="000000"/>
          <w:sz w:val="22"/>
          <w:szCs w:val="22"/>
          <w:lang w:val="en-US"/>
        </w:rPr>
        <w:t xml:space="preserve">is </w:t>
      </w:r>
      <w:r w:rsidRPr="00560D5D">
        <w:rPr>
          <w:color w:val="000000"/>
          <w:sz w:val="22"/>
          <w:szCs w:val="22"/>
          <w:lang w:val="en-US"/>
        </w:rPr>
        <w:t xml:space="preserve">governed by the </w:t>
      </w:r>
      <w:r>
        <w:rPr>
          <w:color w:val="000000"/>
          <w:sz w:val="22"/>
          <w:szCs w:val="22"/>
          <w:lang w:val="en-US"/>
        </w:rPr>
        <w:t>L</w:t>
      </w:r>
      <w:r w:rsidRPr="00560D5D">
        <w:rPr>
          <w:color w:val="000000"/>
          <w:sz w:val="22"/>
          <w:szCs w:val="22"/>
          <w:lang w:val="en-US"/>
        </w:rPr>
        <w:t>aws o</w:t>
      </w:r>
      <w:r>
        <w:rPr>
          <w:color w:val="000000"/>
          <w:sz w:val="22"/>
          <w:szCs w:val="22"/>
          <w:lang w:val="en-US"/>
        </w:rPr>
        <w:t>n</w:t>
      </w:r>
      <w:r w:rsidRPr="00560D5D">
        <w:rPr>
          <w:color w:val="000000"/>
          <w:sz w:val="22"/>
          <w:szCs w:val="22"/>
          <w:lang w:val="en-US"/>
        </w:rPr>
        <w:t xml:space="preserve"> natural monopolies and the protection of competition.</w:t>
      </w:r>
    </w:p>
    <w:p w:rsidR="00287F7C" w:rsidRPr="00560D5D" w:rsidRDefault="00287F7C" w:rsidP="00287F7C">
      <w:pPr>
        <w:tabs>
          <w:tab w:val="left" w:pos="426"/>
        </w:tabs>
        <w:ind w:left="-709" w:firstLine="709"/>
        <w:jc w:val="both"/>
        <w:rPr>
          <w:color w:val="000000"/>
          <w:sz w:val="22"/>
          <w:szCs w:val="22"/>
          <w:lang w:val="en-US"/>
        </w:rPr>
      </w:pPr>
      <w:r>
        <w:rPr>
          <w:color w:val="000000"/>
          <w:sz w:val="22"/>
          <w:szCs w:val="22"/>
          <w:lang w:val="en-US"/>
        </w:rPr>
        <w:t>Development</w:t>
      </w:r>
      <w:r w:rsidRPr="00560D5D">
        <w:rPr>
          <w:color w:val="000000"/>
          <w:sz w:val="22"/>
          <w:szCs w:val="22"/>
          <w:lang w:val="en-US"/>
        </w:rPr>
        <w:t xml:space="preserve"> </w:t>
      </w:r>
      <w:r>
        <w:rPr>
          <w:color w:val="000000"/>
          <w:sz w:val="22"/>
          <w:szCs w:val="22"/>
          <w:lang w:val="en-US"/>
        </w:rPr>
        <w:t>Strategy</w:t>
      </w:r>
      <w:r w:rsidRPr="00560D5D">
        <w:rPr>
          <w:color w:val="000000"/>
          <w:sz w:val="22"/>
          <w:szCs w:val="22"/>
          <w:lang w:val="en-US"/>
        </w:rPr>
        <w:t xml:space="preserve"> </w:t>
      </w:r>
      <w:r>
        <w:rPr>
          <w:color w:val="000000"/>
          <w:sz w:val="22"/>
          <w:szCs w:val="22"/>
          <w:lang w:val="en-US"/>
        </w:rPr>
        <w:t>of</w:t>
      </w:r>
      <w:r w:rsidRPr="00560D5D">
        <w:rPr>
          <w:color w:val="000000"/>
          <w:sz w:val="22"/>
          <w:szCs w:val="22"/>
          <w:lang w:val="en-US"/>
        </w:rPr>
        <w:t xml:space="preserve"> </w:t>
      </w:r>
      <w:r>
        <w:rPr>
          <w:color w:val="000000"/>
          <w:sz w:val="22"/>
          <w:szCs w:val="22"/>
          <w:lang w:val="en-US"/>
        </w:rPr>
        <w:t>the</w:t>
      </w:r>
      <w:r w:rsidRPr="00560D5D">
        <w:rPr>
          <w:color w:val="000000"/>
          <w:sz w:val="22"/>
          <w:szCs w:val="22"/>
          <w:lang w:val="en-US"/>
        </w:rPr>
        <w:t xml:space="preserve"> </w:t>
      </w:r>
      <w:r>
        <w:rPr>
          <w:color w:val="000000"/>
          <w:sz w:val="22"/>
          <w:szCs w:val="22"/>
          <w:lang w:val="en-US"/>
        </w:rPr>
        <w:t>Fund</w:t>
      </w:r>
      <w:r>
        <w:rPr>
          <w:lang w:val="en-US"/>
        </w:rPr>
        <w:t xml:space="preserve"> </w:t>
      </w:r>
      <w:r w:rsidRPr="009E6737">
        <w:rPr>
          <w:color w:val="000000"/>
          <w:sz w:val="22"/>
          <w:szCs w:val="22"/>
          <w:lang w:val="en-US"/>
        </w:rPr>
        <w:t>for 2012-2022 is approved by Decree of the Government of RK # 1202 dated September 14. Subsidiaries will bring the development strategies in line with the strategy of the Fund</w:t>
      </w:r>
      <w:r>
        <w:rPr>
          <w:color w:val="000000"/>
          <w:sz w:val="22"/>
          <w:szCs w:val="22"/>
          <w:lang w:val="en-US"/>
        </w:rPr>
        <w:t>.</w:t>
      </w:r>
      <w:r w:rsidRPr="00560D5D">
        <w:rPr>
          <w:color w:val="000000"/>
          <w:sz w:val="22"/>
          <w:szCs w:val="22"/>
          <w:lang w:val="en-US"/>
        </w:rPr>
        <w:t xml:space="preserve"> </w:t>
      </w:r>
    </w:p>
    <w:p w:rsidR="002664E4" w:rsidRPr="003E3FEF" w:rsidRDefault="002664E4" w:rsidP="00287F7C">
      <w:pPr>
        <w:pStyle w:val="Style12"/>
        <w:widowControl/>
        <w:spacing w:line="274" w:lineRule="exact"/>
        <w:ind w:left="-567" w:right="5" w:firstLine="567"/>
        <w:rPr>
          <w:rStyle w:val="FontStyle75"/>
          <w:lang w:val="en-US"/>
        </w:rPr>
      </w:pPr>
      <w:r w:rsidRPr="003E3FEF">
        <w:rPr>
          <w:rStyle w:val="s0"/>
          <w:sz w:val="22"/>
          <w:szCs w:val="22"/>
          <w:lang w:val="en-US"/>
        </w:rPr>
        <w:t>The Fund</w:t>
      </w:r>
      <w:r w:rsidR="00287F7C">
        <w:rPr>
          <w:rStyle w:val="s0"/>
          <w:sz w:val="22"/>
          <w:szCs w:val="22"/>
          <w:lang w:val="en-US"/>
        </w:rPr>
        <w:t>’ mission</w:t>
      </w:r>
      <w:r w:rsidRPr="003E3FEF">
        <w:rPr>
          <w:rStyle w:val="s0"/>
          <w:sz w:val="22"/>
          <w:szCs w:val="22"/>
          <w:lang w:val="en-US"/>
        </w:rPr>
        <w:t xml:space="preserve"> is to increase the national wealth of the Republic of Kazakhstan by increasing the long-term value (cost) of companies, effective management of assets belonging to the Group of the Fund</w:t>
      </w:r>
      <w:r w:rsidRPr="003E3FEF">
        <w:rPr>
          <w:rStyle w:val="FontStyle75"/>
          <w:lang w:val="en-US"/>
        </w:rPr>
        <w:t>.</w:t>
      </w:r>
    </w:p>
    <w:p w:rsidR="002664E4" w:rsidRPr="00F14262" w:rsidRDefault="002664E4" w:rsidP="002664E4">
      <w:pPr>
        <w:pStyle w:val="Style12"/>
        <w:widowControl/>
        <w:spacing w:line="274" w:lineRule="exact"/>
        <w:ind w:left="-567" w:right="5" w:firstLine="567"/>
        <w:rPr>
          <w:rStyle w:val="FontStyle75"/>
          <w:lang w:val="en-US"/>
        </w:rPr>
      </w:pPr>
      <w:r>
        <w:rPr>
          <w:rStyle w:val="FontStyle75"/>
          <w:lang w:val="en-US"/>
        </w:rPr>
        <w:t xml:space="preserve">To achieve the goal, the Fund operates on </w:t>
      </w:r>
      <w:r w:rsidR="00287F7C">
        <w:rPr>
          <w:rStyle w:val="FontStyle75"/>
          <w:lang w:val="en-US"/>
        </w:rPr>
        <w:t>three strategic</w:t>
      </w:r>
      <w:r>
        <w:rPr>
          <w:rStyle w:val="FontStyle75"/>
          <w:lang w:val="en-US"/>
        </w:rPr>
        <w:t xml:space="preserve"> directions</w:t>
      </w:r>
      <w:r w:rsidRPr="00F14262">
        <w:rPr>
          <w:rStyle w:val="FontStyle75"/>
          <w:lang w:val="en-US"/>
        </w:rPr>
        <w:t>:</w:t>
      </w:r>
    </w:p>
    <w:p w:rsidR="002664E4" w:rsidRPr="007E4A28" w:rsidRDefault="002664E4" w:rsidP="002664E4">
      <w:pPr>
        <w:pStyle w:val="Style12"/>
        <w:widowControl/>
        <w:numPr>
          <w:ilvl w:val="0"/>
          <w:numId w:val="15"/>
        </w:numPr>
        <w:spacing w:line="274" w:lineRule="exact"/>
        <w:ind w:left="284" w:right="5" w:hanging="284"/>
        <w:rPr>
          <w:rStyle w:val="FontStyle75"/>
          <w:lang w:val="en-US"/>
        </w:rPr>
      </w:pPr>
      <w:r w:rsidRPr="007E4A28">
        <w:rPr>
          <w:color w:val="000000"/>
          <w:sz w:val="22"/>
          <w:szCs w:val="22"/>
          <w:lang w:val="en-US"/>
        </w:rPr>
        <w:t>Improving long-term value</w:t>
      </w:r>
      <w:r w:rsidR="009A3F7B" w:rsidRPr="009A3F7B">
        <w:rPr>
          <w:rStyle w:val="af6"/>
          <w:u w:val="none"/>
          <w:lang w:val="en-US"/>
        </w:rPr>
        <w:t xml:space="preserve"> </w:t>
      </w:r>
      <w:r w:rsidRPr="009A3F7B">
        <w:rPr>
          <w:rStyle w:val="FontStyle75"/>
          <w:lang w:val="en-US"/>
        </w:rPr>
        <w:t>of</w:t>
      </w:r>
      <w:r>
        <w:rPr>
          <w:rStyle w:val="FontStyle75"/>
          <w:lang w:val="en-US"/>
        </w:rPr>
        <w:t xml:space="preserve"> Companies</w:t>
      </w:r>
    </w:p>
    <w:p w:rsidR="002664E4" w:rsidRDefault="002664E4" w:rsidP="002664E4">
      <w:pPr>
        <w:pStyle w:val="Style12"/>
        <w:widowControl/>
        <w:numPr>
          <w:ilvl w:val="0"/>
          <w:numId w:val="15"/>
        </w:numPr>
        <w:tabs>
          <w:tab w:val="left" w:pos="284"/>
        </w:tabs>
        <w:spacing w:before="34" w:line="274" w:lineRule="exact"/>
        <w:ind w:left="-567" w:right="5" w:firstLine="567"/>
        <w:rPr>
          <w:rStyle w:val="FontStyle75"/>
          <w:lang w:val="en-US"/>
        </w:rPr>
      </w:pPr>
      <w:r>
        <w:rPr>
          <w:rStyle w:val="FontStyle75"/>
          <w:lang w:val="en-US"/>
        </w:rPr>
        <w:t>Assistance to diversification and modernization of the national economy</w:t>
      </w:r>
      <w:r w:rsidRPr="00F14262">
        <w:rPr>
          <w:rStyle w:val="FontStyle75"/>
          <w:noProof/>
          <w:lang w:val="en-US"/>
        </w:rPr>
        <w:t xml:space="preserve"> </w:t>
      </w:r>
    </w:p>
    <w:p w:rsidR="00287F7C" w:rsidRPr="00F14262" w:rsidRDefault="00287F7C" w:rsidP="002664E4">
      <w:pPr>
        <w:pStyle w:val="Style12"/>
        <w:widowControl/>
        <w:numPr>
          <w:ilvl w:val="0"/>
          <w:numId w:val="15"/>
        </w:numPr>
        <w:tabs>
          <w:tab w:val="left" w:pos="284"/>
        </w:tabs>
        <w:spacing w:before="34" w:line="274" w:lineRule="exact"/>
        <w:ind w:left="-567" w:right="5" w:firstLine="567"/>
        <w:rPr>
          <w:rStyle w:val="FontStyle75"/>
          <w:lang w:val="en-US"/>
        </w:rPr>
      </w:pPr>
      <w:r>
        <w:rPr>
          <w:rStyle w:val="FontStyle75"/>
          <w:noProof/>
          <w:lang w:val="en-US"/>
        </w:rPr>
        <w:t>Social responsibility</w:t>
      </w:r>
    </w:p>
    <w:p w:rsidR="002664E4" w:rsidRPr="00F14262" w:rsidRDefault="002664E4" w:rsidP="002664E4">
      <w:pPr>
        <w:pStyle w:val="Style12"/>
        <w:widowControl/>
        <w:spacing w:line="274" w:lineRule="exact"/>
        <w:ind w:left="-567" w:firstLine="567"/>
        <w:rPr>
          <w:rStyle w:val="FontStyle75"/>
          <w:lang w:val="en-US"/>
        </w:rPr>
      </w:pPr>
      <w:r>
        <w:rPr>
          <w:rStyle w:val="FontStyle75"/>
          <w:lang w:val="en-US"/>
        </w:rPr>
        <w:t xml:space="preserve">The Government of the Republic of Kazakhstan is the Sole Shareholder of the Fund. </w:t>
      </w:r>
      <w:r w:rsidRPr="00F14262">
        <w:rPr>
          <w:rStyle w:val="FontStyle75"/>
          <w:lang w:val="en-US"/>
        </w:rPr>
        <w:t xml:space="preserve"> </w:t>
      </w:r>
      <w:r>
        <w:rPr>
          <w:rStyle w:val="FontStyle75"/>
          <w:lang w:val="en-US"/>
        </w:rPr>
        <w:t xml:space="preserve">The Board of Directors consists of Chairman and members elected by the Sole Shareholder. Prime-Minister of the Republic of Kazakhstan is Chairman of the Board of Directors ex officio. </w:t>
      </w:r>
      <w:r w:rsidRPr="00F14262">
        <w:rPr>
          <w:rStyle w:val="FontStyle75"/>
          <w:lang w:val="en-US"/>
        </w:rPr>
        <w:t xml:space="preserve"> </w:t>
      </w:r>
      <w:r>
        <w:rPr>
          <w:rStyle w:val="FontStyle75"/>
          <w:lang w:val="en-US"/>
        </w:rPr>
        <w:t xml:space="preserve"> </w:t>
      </w:r>
      <w:r w:rsidRPr="00F14262">
        <w:rPr>
          <w:rStyle w:val="FontStyle75"/>
          <w:lang w:val="en-US"/>
        </w:rPr>
        <w:t xml:space="preserve"> </w:t>
      </w:r>
    </w:p>
    <w:p w:rsidR="002664E4" w:rsidRPr="00F14262" w:rsidRDefault="002664E4" w:rsidP="002664E4">
      <w:pPr>
        <w:pStyle w:val="a4"/>
        <w:ind w:left="-567" w:firstLine="567"/>
        <w:jc w:val="both"/>
        <w:rPr>
          <w:rStyle w:val="hps"/>
          <w:sz w:val="22"/>
          <w:szCs w:val="22"/>
          <w:lang w:val="en-US"/>
        </w:rPr>
      </w:pPr>
      <w:r w:rsidRPr="00F14262">
        <w:rPr>
          <w:sz w:val="22"/>
          <w:szCs w:val="22"/>
          <w:lang w:val="en-US"/>
        </w:rPr>
        <w:t xml:space="preserve">The Board of Directors shall consist of members of the Government of the Republic of Kazakhstan, </w:t>
      </w:r>
      <w:r w:rsidR="00D01934" w:rsidRPr="00F14262">
        <w:rPr>
          <w:sz w:val="22"/>
          <w:szCs w:val="22"/>
          <w:lang w:val="en-US"/>
        </w:rPr>
        <w:t>independent directors</w:t>
      </w:r>
      <w:r w:rsidR="00D01934">
        <w:rPr>
          <w:sz w:val="22"/>
          <w:szCs w:val="22"/>
          <w:lang w:val="en-US"/>
        </w:rPr>
        <w:t>,</w:t>
      </w:r>
      <w:r w:rsidR="00D01934" w:rsidRPr="00F14262">
        <w:rPr>
          <w:sz w:val="22"/>
          <w:szCs w:val="22"/>
          <w:lang w:val="en-US"/>
        </w:rPr>
        <w:t xml:space="preserve"> </w:t>
      </w:r>
      <w:r w:rsidR="00D01934">
        <w:rPr>
          <w:sz w:val="22"/>
          <w:szCs w:val="22"/>
          <w:lang w:val="en-US"/>
        </w:rPr>
        <w:t>Chief Executive Officer</w:t>
      </w:r>
      <w:r w:rsidRPr="00F14262">
        <w:rPr>
          <w:sz w:val="22"/>
          <w:szCs w:val="22"/>
          <w:lang w:val="en-US"/>
        </w:rPr>
        <w:t xml:space="preserve"> and other persons.</w:t>
      </w:r>
      <w:r>
        <w:rPr>
          <w:sz w:val="22"/>
          <w:szCs w:val="22"/>
          <w:lang w:val="en-US"/>
        </w:rPr>
        <w:t xml:space="preserve"> </w:t>
      </w:r>
      <w:r w:rsidRPr="00F14262">
        <w:rPr>
          <w:sz w:val="22"/>
          <w:szCs w:val="22"/>
          <w:lang w:val="en-US"/>
        </w:rPr>
        <w:t xml:space="preserve">Number of members of the Board of Directors </w:t>
      </w:r>
      <w:r>
        <w:rPr>
          <w:sz w:val="22"/>
          <w:szCs w:val="22"/>
          <w:lang w:val="en-US"/>
        </w:rPr>
        <w:t>shall be determined by the Charter of the Fund</w:t>
      </w:r>
      <w:r w:rsidRPr="00F14262">
        <w:rPr>
          <w:sz w:val="22"/>
          <w:szCs w:val="22"/>
          <w:lang w:val="en-US"/>
        </w:rPr>
        <w:t>, at that, the number of independent directors shall be not less than two-fifths of the number of the Board of Directors.</w:t>
      </w:r>
    </w:p>
    <w:p w:rsidR="002664E4" w:rsidRPr="00330753" w:rsidRDefault="002664E4" w:rsidP="002664E4">
      <w:pPr>
        <w:tabs>
          <w:tab w:val="left" w:pos="426"/>
        </w:tabs>
        <w:ind w:left="-709" w:firstLine="709"/>
        <w:jc w:val="both"/>
        <w:rPr>
          <w:rStyle w:val="FontStyle75"/>
          <w:rFonts w:eastAsiaTheme="minorEastAsia"/>
          <w:lang w:val="en-US"/>
        </w:rPr>
      </w:pPr>
      <w:r w:rsidRPr="00330753">
        <w:rPr>
          <w:rStyle w:val="FontStyle75"/>
          <w:rFonts w:eastAsiaTheme="minorEastAsia"/>
          <w:lang w:val="en-US"/>
        </w:rPr>
        <w:t xml:space="preserve">The structure of the Fund consists of </w:t>
      </w:r>
      <w:r>
        <w:rPr>
          <w:rStyle w:val="FontStyle75"/>
          <w:rFonts w:eastAsiaTheme="minorEastAsia"/>
          <w:lang w:val="en-US"/>
        </w:rPr>
        <w:t>C</w:t>
      </w:r>
      <w:r w:rsidRPr="00330753">
        <w:rPr>
          <w:rStyle w:val="FontStyle75"/>
          <w:rFonts w:eastAsiaTheme="minorEastAsia"/>
          <w:lang w:val="en-US"/>
        </w:rPr>
        <w:t xml:space="preserve">ompanies from key sectors of the economy, including oil and gas, </w:t>
      </w:r>
      <w:r>
        <w:rPr>
          <w:rStyle w:val="FontStyle75"/>
          <w:rFonts w:eastAsiaTheme="minorEastAsia"/>
          <w:lang w:val="en-US"/>
        </w:rPr>
        <w:t>power</w:t>
      </w:r>
      <w:r w:rsidRPr="00330753">
        <w:rPr>
          <w:rStyle w:val="FontStyle75"/>
          <w:rFonts w:eastAsiaTheme="minorEastAsia"/>
          <w:lang w:val="en-US"/>
        </w:rPr>
        <w:t xml:space="preserve">, transport, telecommunications and </w:t>
      </w:r>
      <w:r>
        <w:rPr>
          <w:rStyle w:val="FontStyle75"/>
          <w:rFonts w:eastAsiaTheme="minorEastAsia"/>
          <w:lang w:val="en-US"/>
        </w:rPr>
        <w:t>others.</w:t>
      </w:r>
    </w:p>
    <w:p w:rsidR="002664E4" w:rsidRPr="00330753" w:rsidRDefault="002664E4" w:rsidP="002664E4">
      <w:pPr>
        <w:tabs>
          <w:tab w:val="left" w:pos="426"/>
        </w:tabs>
        <w:ind w:left="-709" w:firstLine="709"/>
        <w:jc w:val="both"/>
        <w:rPr>
          <w:sz w:val="22"/>
          <w:szCs w:val="22"/>
          <w:lang w:val="en-US"/>
        </w:rPr>
      </w:pPr>
      <w:r w:rsidRPr="00330753">
        <w:rPr>
          <w:rStyle w:val="FontStyle75"/>
          <w:rFonts w:eastAsiaTheme="minorEastAsia"/>
          <w:lang w:val="en-US"/>
        </w:rPr>
        <w:t xml:space="preserve">The structure of the Fund </w:t>
      </w:r>
      <w:r>
        <w:rPr>
          <w:rStyle w:val="FontStyle75"/>
          <w:rFonts w:eastAsiaTheme="minorEastAsia"/>
          <w:lang w:val="en-US"/>
        </w:rPr>
        <w:t>includes</w:t>
      </w:r>
      <w:r w:rsidRPr="00330753">
        <w:rPr>
          <w:rStyle w:val="FontStyle75"/>
          <w:rFonts w:eastAsiaTheme="minorEastAsia"/>
          <w:lang w:val="en-US"/>
        </w:rPr>
        <w:t xml:space="preserve"> 5</w:t>
      </w:r>
      <w:r w:rsidR="00D01934">
        <w:rPr>
          <w:rStyle w:val="FontStyle75"/>
          <w:rFonts w:eastAsiaTheme="minorEastAsia"/>
          <w:lang w:val="en-US"/>
        </w:rPr>
        <w:t>9</w:t>
      </w:r>
      <w:r w:rsidR="001E194D">
        <w:rPr>
          <w:rStyle w:val="FontStyle75"/>
          <w:rFonts w:eastAsiaTheme="minorEastAsia"/>
          <w:lang w:val="en-US"/>
        </w:rPr>
        <w:t>3</w:t>
      </w:r>
      <w:r w:rsidRPr="00330753">
        <w:rPr>
          <w:rStyle w:val="FontStyle75"/>
          <w:rFonts w:eastAsiaTheme="minorEastAsia"/>
          <w:lang w:val="en-US"/>
        </w:rPr>
        <w:t xml:space="preserve"> companies, </w:t>
      </w:r>
      <w:r>
        <w:rPr>
          <w:rStyle w:val="FontStyle75"/>
          <w:rFonts w:eastAsiaTheme="minorEastAsia"/>
          <w:lang w:val="en-US"/>
        </w:rPr>
        <w:t>as well as</w:t>
      </w:r>
      <w:r w:rsidRPr="00330753">
        <w:rPr>
          <w:rStyle w:val="FontStyle75"/>
          <w:rFonts w:eastAsiaTheme="minorEastAsia"/>
          <w:lang w:val="en-US"/>
        </w:rPr>
        <w:t xml:space="preserve"> the corporate center </w:t>
      </w:r>
      <w:r>
        <w:rPr>
          <w:rStyle w:val="FontStyle75"/>
          <w:rFonts w:eastAsiaTheme="minorEastAsia"/>
          <w:lang w:val="en-US"/>
        </w:rPr>
        <w:t>“Samruk-Kazyna” JSC</w:t>
      </w:r>
      <w:r w:rsidR="001E194D">
        <w:rPr>
          <w:rStyle w:val="FontStyle75"/>
          <w:rFonts w:eastAsiaTheme="minorEastAsia"/>
          <w:lang w:val="en-US"/>
        </w:rPr>
        <w:t>, 361</w:t>
      </w:r>
      <w:r w:rsidRPr="00330753">
        <w:rPr>
          <w:rStyle w:val="FontStyle75"/>
          <w:rFonts w:eastAsiaTheme="minorEastAsia"/>
          <w:lang w:val="en-US"/>
        </w:rPr>
        <w:t xml:space="preserve"> subsidiaries (hereinafter - </w:t>
      </w:r>
      <w:r>
        <w:rPr>
          <w:rStyle w:val="FontStyle75"/>
          <w:rFonts w:eastAsiaTheme="minorEastAsia"/>
          <w:lang w:val="en-US"/>
        </w:rPr>
        <w:t>subsidiaries</w:t>
      </w:r>
      <w:r w:rsidR="00D01934">
        <w:rPr>
          <w:rStyle w:val="FontStyle75"/>
          <w:rFonts w:eastAsiaTheme="minorEastAsia"/>
          <w:lang w:val="en-US"/>
        </w:rPr>
        <w:t>) of all levels and 2</w:t>
      </w:r>
      <w:r w:rsidR="00932B9B" w:rsidRPr="00932B9B">
        <w:rPr>
          <w:rStyle w:val="FontStyle75"/>
          <w:rFonts w:eastAsiaTheme="minorEastAsia"/>
          <w:lang w:val="en-US"/>
        </w:rPr>
        <w:t>3</w:t>
      </w:r>
      <w:r w:rsidR="001E194D">
        <w:rPr>
          <w:rStyle w:val="FontStyle75"/>
          <w:rFonts w:eastAsiaTheme="minorEastAsia"/>
          <w:lang w:val="en-US"/>
        </w:rPr>
        <w:t>1</w:t>
      </w:r>
      <w:r w:rsidRPr="00330753">
        <w:rPr>
          <w:rStyle w:val="FontStyle75"/>
          <w:rFonts w:eastAsiaTheme="minorEastAsia"/>
          <w:lang w:val="en-US"/>
        </w:rPr>
        <w:t xml:space="preserve"> associates and jointly-controlled entities,</w:t>
      </w:r>
      <w:r w:rsidR="00932B9B" w:rsidRPr="00932B9B">
        <w:rPr>
          <w:rStyle w:val="FontStyle75"/>
          <w:rFonts w:eastAsiaTheme="minorEastAsia"/>
          <w:lang w:val="en-US"/>
        </w:rPr>
        <w:t xml:space="preserve"> </w:t>
      </w:r>
      <w:r w:rsidR="00932B9B">
        <w:rPr>
          <w:rStyle w:val="FontStyle75"/>
          <w:rFonts w:eastAsiaTheme="minorEastAsia"/>
          <w:lang w:val="en-US"/>
        </w:rPr>
        <w:t>financial investments,</w:t>
      </w:r>
      <w:r w:rsidRPr="00330753">
        <w:rPr>
          <w:rStyle w:val="FontStyle75"/>
          <w:rFonts w:eastAsiaTheme="minorEastAsia"/>
          <w:lang w:val="en-US"/>
        </w:rPr>
        <w:t xml:space="preserve"> including</w:t>
      </w:r>
      <w:r>
        <w:rPr>
          <w:rStyle w:val="FontStyle75"/>
          <w:rFonts w:eastAsiaTheme="minorEastAsia"/>
          <w:lang w:val="en-US"/>
        </w:rPr>
        <w:t xml:space="preserve"> legal</w:t>
      </w:r>
      <w:r w:rsidRPr="00330753">
        <w:rPr>
          <w:rStyle w:val="FontStyle75"/>
          <w:rFonts w:eastAsiaTheme="minorEastAsia"/>
          <w:lang w:val="en-US"/>
        </w:rPr>
        <w:t xml:space="preserve"> entities and banks, not included in the </w:t>
      </w:r>
      <w:r>
        <w:rPr>
          <w:rStyle w:val="FontStyle75"/>
          <w:rFonts w:eastAsiaTheme="minorEastAsia"/>
          <w:lang w:val="en-US"/>
        </w:rPr>
        <w:t>G</w:t>
      </w:r>
      <w:r w:rsidRPr="00330753">
        <w:rPr>
          <w:rStyle w:val="FontStyle75"/>
          <w:rFonts w:eastAsiaTheme="minorEastAsia"/>
          <w:lang w:val="en-US"/>
        </w:rPr>
        <w:t>roup</w:t>
      </w:r>
      <w:r>
        <w:rPr>
          <w:rStyle w:val="FontStyle75"/>
          <w:rFonts w:eastAsiaTheme="minorEastAsia"/>
          <w:lang w:val="en-US"/>
        </w:rPr>
        <w:t xml:space="preserve"> of the</w:t>
      </w:r>
      <w:r w:rsidRPr="00330753">
        <w:rPr>
          <w:rStyle w:val="FontStyle75"/>
          <w:rFonts w:eastAsiaTheme="minorEastAsia"/>
          <w:lang w:val="en-US"/>
        </w:rPr>
        <w:t xml:space="preserve"> </w:t>
      </w:r>
      <w:r>
        <w:rPr>
          <w:rStyle w:val="FontStyle75"/>
          <w:rFonts w:eastAsiaTheme="minorEastAsia"/>
          <w:lang w:val="en-US"/>
        </w:rPr>
        <w:t>Fund</w:t>
      </w:r>
      <w:r w:rsidR="00D01934">
        <w:rPr>
          <w:rStyle w:val="FontStyle75"/>
          <w:rFonts w:eastAsiaTheme="minorEastAsia"/>
          <w:lang w:val="en-US"/>
        </w:rPr>
        <w:t xml:space="preserve">, according to the </w:t>
      </w:r>
      <w:r w:rsidR="00D01934">
        <w:rPr>
          <w:rStyle w:val="FontStyle75"/>
          <w:rFonts w:eastAsiaTheme="minorEastAsia"/>
          <w:lang w:val="en-US"/>
        </w:rPr>
        <w:lastRenderedPageBreak/>
        <w:t>Law of the Republic of Kazakhstan “On Sovereign Wealth Fund”</w:t>
      </w:r>
      <w:r w:rsidRPr="00330753">
        <w:rPr>
          <w:rStyle w:val="FontStyle75"/>
          <w:rFonts w:eastAsiaTheme="minorEastAsia"/>
          <w:lang w:val="en-US"/>
        </w:rPr>
        <w:t xml:space="preserve">. </w:t>
      </w:r>
      <w:r>
        <w:rPr>
          <w:rStyle w:val="FontStyle75"/>
          <w:rFonts w:eastAsiaTheme="minorEastAsia"/>
          <w:lang w:val="en-US"/>
        </w:rPr>
        <w:t>In</w:t>
      </w:r>
      <w:r w:rsidRPr="00330753">
        <w:rPr>
          <w:rStyle w:val="FontStyle75"/>
          <w:rFonts w:eastAsiaTheme="minorEastAsia"/>
          <w:lang w:val="en-US"/>
        </w:rPr>
        <w:t xml:space="preserve"> consolidation of the financial statements of the Fund </w:t>
      </w:r>
      <w:r>
        <w:rPr>
          <w:rStyle w:val="FontStyle75"/>
          <w:rFonts w:eastAsiaTheme="minorEastAsia"/>
          <w:lang w:val="en-US"/>
        </w:rPr>
        <w:t>the subsidiaries are</w:t>
      </w:r>
      <w:r w:rsidRPr="00330753">
        <w:rPr>
          <w:rStyle w:val="FontStyle75"/>
          <w:rFonts w:eastAsiaTheme="minorEastAsia"/>
          <w:lang w:val="en-US"/>
        </w:rPr>
        <w:t xml:space="preserve"> grouped into the following segments</w:t>
      </w:r>
      <w:r w:rsidRPr="00330753">
        <w:rPr>
          <w:sz w:val="22"/>
          <w:szCs w:val="22"/>
          <w:lang w:val="en-US"/>
        </w:rPr>
        <w:t>:</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Oil &amp; Gas</w:t>
      </w:r>
    </w:p>
    <w:p w:rsidR="002664E4" w:rsidRPr="00072067" w:rsidRDefault="002664E4" w:rsidP="002664E4">
      <w:pPr>
        <w:pStyle w:val="a3"/>
        <w:numPr>
          <w:ilvl w:val="0"/>
          <w:numId w:val="3"/>
        </w:numPr>
        <w:tabs>
          <w:tab w:val="left" w:pos="426"/>
        </w:tabs>
        <w:ind w:left="-709" w:firstLine="709"/>
        <w:jc w:val="both"/>
        <w:rPr>
          <w:sz w:val="22"/>
          <w:szCs w:val="22"/>
          <w:lang w:val="en-US"/>
        </w:rPr>
      </w:pPr>
      <w:r w:rsidRPr="00072067">
        <w:rPr>
          <w:sz w:val="22"/>
          <w:szCs w:val="22"/>
          <w:lang w:val="en-US"/>
        </w:rPr>
        <w:t>Mining and industrial</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Transportation</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Telecommunication</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Power</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Financial institutes and development institutes</w:t>
      </w:r>
    </w:p>
    <w:p w:rsidR="002664E4" w:rsidRPr="001E7106" w:rsidRDefault="002664E4" w:rsidP="002664E4">
      <w:pPr>
        <w:pStyle w:val="a3"/>
        <w:numPr>
          <w:ilvl w:val="0"/>
          <w:numId w:val="3"/>
        </w:numPr>
        <w:tabs>
          <w:tab w:val="left" w:pos="426"/>
        </w:tabs>
        <w:ind w:left="-709" w:firstLine="709"/>
        <w:jc w:val="both"/>
        <w:rPr>
          <w:sz w:val="22"/>
          <w:szCs w:val="22"/>
        </w:rPr>
      </w:pPr>
      <w:r>
        <w:rPr>
          <w:sz w:val="22"/>
          <w:szCs w:val="22"/>
          <w:lang w:val="en-US"/>
        </w:rPr>
        <w:t>Corporate center and projects</w:t>
      </w:r>
    </w:p>
    <w:p w:rsidR="002664E4" w:rsidRPr="00C966D7" w:rsidRDefault="002664E4" w:rsidP="002664E4">
      <w:pPr>
        <w:tabs>
          <w:tab w:val="left" w:pos="426"/>
        </w:tabs>
        <w:ind w:left="-709" w:firstLine="709"/>
        <w:jc w:val="both"/>
        <w:rPr>
          <w:sz w:val="22"/>
          <w:szCs w:val="22"/>
          <w:lang w:val="en-US"/>
        </w:rPr>
      </w:pPr>
      <w:r>
        <w:rPr>
          <w:sz w:val="22"/>
          <w:szCs w:val="22"/>
          <w:lang w:val="en-US"/>
        </w:rPr>
        <w:t>Consolidated</w:t>
      </w:r>
      <w:r w:rsidRPr="00C966D7">
        <w:rPr>
          <w:sz w:val="22"/>
          <w:szCs w:val="22"/>
          <w:lang w:val="en-US"/>
        </w:rPr>
        <w:t xml:space="preserve"> </w:t>
      </w:r>
      <w:r>
        <w:rPr>
          <w:sz w:val="22"/>
          <w:szCs w:val="22"/>
          <w:lang w:val="en-US"/>
        </w:rPr>
        <w:t>financial</w:t>
      </w:r>
      <w:r w:rsidRPr="00C966D7">
        <w:rPr>
          <w:sz w:val="22"/>
          <w:szCs w:val="22"/>
          <w:lang w:val="en-US"/>
        </w:rPr>
        <w:t xml:space="preserve"> </w:t>
      </w:r>
      <w:r>
        <w:rPr>
          <w:sz w:val="22"/>
          <w:szCs w:val="22"/>
          <w:lang w:val="en-US"/>
        </w:rPr>
        <w:t>statements</w:t>
      </w:r>
      <w:r w:rsidRPr="00C966D7">
        <w:rPr>
          <w:sz w:val="22"/>
          <w:szCs w:val="22"/>
          <w:lang w:val="en-US"/>
        </w:rPr>
        <w:t xml:space="preserve"> </w:t>
      </w:r>
      <w:r>
        <w:rPr>
          <w:sz w:val="22"/>
          <w:szCs w:val="22"/>
          <w:lang w:val="en-US"/>
        </w:rPr>
        <w:t>include</w:t>
      </w:r>
      <w:r w:rsidRPr="00C966D7">
        <w:rPr>
          <w:sz w:val="22"/>
          <w:szCs w:val="22"/>
          <w:lang w:val="en-US"/>
        </w:rPr>
        <w:t xml:space="preserve"> 3</w:t>
      </w:r>
      <w:r w:rsidR="003E3FEF">
        <w:rPr>
          <w:sz w:val="22"/>
          <w:szCs w:val="22"/>
          <w:lang w:val="en-US"/>
        </w:rPr>
        <w:t>5</w:t>
      </w:r>
      <w:r w:rsidRPr="00C966D7">
        <w:rPr>
          <w:sz w:val="22"/>
          <w:szCs w:val="22"/>
          <w:lang w:val="en-US"/>
        </w:rPr>
        <w:t xml:space="preserve"> </w:t>
      </w:r>
      <w:r>
        <w:rPr>
          <w:sz w:val="22"/>
          <w:szCs w:val="22"/>
          <w:lang w:val="en-US"/>
        </w:rPr>
        <w:t>material</w:t>
      </w:r>
      <w:r w:rsidRPr="00C966D7">
        <w:rPr>
          <w:sz w:val="22"/>
          <w:szCs w:val="22"/>
          <w:lang w:val="en-US"/>
        </w:rPr>
        <w:t xml:space="preserve"> </w:t>
      </w:r>
      <w:r>
        <w:rPr>
          <w:sz w:val="22"/>
          <w:szCs w:val="22"/>
          <w:lang w:val="en-US"/>
        </w:rPr>
        <w:t>subsidiaries</w:t>
      </w:r>
      <w:r w:rsidR="00061E30" w:rsidRPr="00061E30">
        <w:rPr>
          <w:sz w:val="22"/>
          <w:szCs w:val="22"/>
          <w:lang w:val="en-US"/>
        </w:rPr>
        <w:t>, 3 associates and 1 jointly controlled entity</w:t>
      </w:r>
      <w:r w:rsidRPr="00C966D7">
        <w:rPr>
          <w:sz w:val="22"/>
          <w:szCs w:val="22"/>
          <w:lang w:val="en-US"/>
        </w:rPr>
        <w:t xml:space="preserve">. </w:t>
      </w:r>
      <w:r>
        <w:rPr>
          <w:sz w:val="22"/>
          <w:szCs w:val="22"/>
          <w:lang w:val="en-US"/>
        </w:rPr>
        <w:t xml:space="preserve"> </w:t>
      </w:r>
    </w:p>
    <w:p w:rsidR="002664E4" w:rsidRPr="00560D5D" w:rsidRDefault="002664E4" w:rsidP="002664E4">
      <w:pPr>
        <w:tabs>
          <w:tab w:val="left" w:pos="426"/>
        </w:tabs>
        <w:ind w:left="-709" w:firstLine="709"/>
        <w:jc w:val="both"/>
        <w:rPr>
          <w:color w:val="000000"/>
          <w:sz w:val="22"/>
          <w:szCs w:val="22"/>
          <w:lang w:val="en-US"/>
        </w:rPr>
      </w:pPr>
      <w:r>
        <w:rPr>
          <w:color w:val="000000"/>
          <w:sz w:val="22"/>
          <w:szCs w:val="22"/>
          <w:lang w:val="en-US"/>
        </w:rPr>
        <w:t>Later</w:t>
      </w:r>
      <w:r w:rsidRPr="00560D5D">
        <w:rPr>
          <w:color w:val="000000"/>
          <w:sz w:val="22"/>
          <w:szCs w:val="22"/>
          <w:lang w:val="en-US"/>
        </w:rPr>
        <w:t xml:space="preserve">, </w:t>
      </w:r>
      <w:r>
        <w:rPr>
          <w:color w:val="000000"/>
          <w:sz w:val="22"/>
          <w:szCs w:val="22"/>
          <w:lang w:val="en-US"/>
        </w:rPr>
        <w:t>Section</w:t>
      </w:r>
      <w:r w:rsidRPr="00560D5D">
        <w:rPr>
          <w:color w:val="000000"/>
          <w:sz w:val="22"/>
          <w:szCs w:val="22"/>
          <w:lang w:val="en-US"/>
        </w:rPr>
        <w:t xml:space="preserve"> </w:t>
      </w:r>
      <w:r w:rsidR="003E3FEF">
        <w:rPr>
          <w:color w:val="000000"/>
          <w:sz w:val="22"/>
          <w:szCs w:val="22"/>
          <w:lang w:val="en-US"/>
        </w:rPr>
        <w:t>II</w:t>
      </w:r>
      <w:r w:rsidRPr="00560D5D">
        <w:rPr>
          <w:color w:val="000000"/>
          <w:sz w:val="22"/>
          <w:szCs w:val="22"/>
          <w:lang w:val="en-US"/>
        </w:rPr>
        <w:t xml:space="preserve"> </w:t>
      </w:r>
      <w:r>
        <w:rPr>
          <w:color w:val="000000"/>
          <w:sz w:val="22"/>
          <w:szCs w:val="22"/>
          <w:lang w:val="en-US"/>
        </w:rPr>
        <w:t>of</w:t>
      </w:r>
      <w:r w:rsidRPr="00560D5D">
        <w:rPr>
          <w:color w:val="000000"/>
          <w:sz w:val="22"/>
          <w:szCs w:val="22"/>
          <w:lang w:val="en-US"/>
        </w:rPr>
        <w:t xml:space="preserve"> </w:t>
      </w:r>
      <w:r>
        <w:rPr>
          <w:color w:val="000000"/>
          <w:sz w:val="22"/>
          <w:szCs w:val="22"/>
          <w:lang w:val="en-US"/>
        </w:rPr>
        <w:t>this</w:t>
      </w:r>
      <w:r w:rsidRPr="00560D5D">
        <w:rPr>
          <w:color w:val="000000"/>
          <w:sz w:val="22"/>
          <w:szCs w:val="22"/>
          <w:lang w:val="en-US"/>
        </w:rPr>
        <w:t xml:space="preserve"> </w:t>
      </w:r>
      <w:r>
        <w:rPr>
          <w:color w:val="000000"/>
          <w:sz w:val="22"/>
          <w:szCs w:val="22"/>
          <w:lang w:val="en-US"/>
        </w:rPr>
        <w:t>Analysis</w:t>
      </w:r>
      <w:r w:rsidRPr="00560D5D">
        <w:rPr>
          <w:color w:val="000000"/>
          <w:sz w:val="22"/>
          <w:szCs w:val="22"/>
          <w:lang w:val="en-US"/>
        </w:rPr>
        <w:t xml:space="preserve"> </w:t>
      </w:r>
      <w:r>
        <w:rPr>
          <w:color w:val="000000"/>
          <w:sz w:val="22"/>
          <w:szCs w:val="22"/>
          <w:lang w:val="en-US"/>
        </w:rPr>
        <w:t>describes</w:t>
      </w:r>
      <w:r w:rsidRPr="00560D5D">
        <w:rPr>
          <w:color w:val="000000"/>
          <w:sz w:val="22"/>
          <w:szCs w:val="22"/>
          <w:lang w:val="en-US"/>
        </w:rPr>
        <w:t xml:space="preserve"> </w:t>
      </w:r>
      <w:r>
        <w:rPr>
          <w:color w:val="000000"/>
          <w:sz w:val="22"/>
          <w:szCs w:val="22"/>
          <w:lang w:val="en-US"/>
        </w:rPr>
        <w:t>the</w:t>
      </w:r>
      <w:r w:rsidRPr="00560D5D">
        <w:rPr>
          <w:color w:val="000000"/>
          <w:sz w:val="22"/>
          <w:szCs w:val="22"/>
          <w:lang w:val="en-US"/>
        </w:rPr>
        <w:t xml:space="preserve"> </w:t>
      </w:r>
      <w:r>
        <w:rPr>
          <w:color w:val="000000"/>
          <w:sz w:val="22"/>
          <w:szCs w:val="22"/>
          <w:lang w:val="en-US"/>
        </w:rPr>
        <w:t>performance</w:t>
      </w:r>
      <w:r w:rsidRPr="00560D5D">
        <w:rPr>
          <w:color w:val="000000"/>
          <w:sz w:val="22"/>
          <w:szCs w:val="22"/>
          <w:lang w:val="en-US"/>
        </w:rPr>
        <w:t xml:space="preserve"> </w:t>
      </w:r>
      <w:r>
        <w:rPr>
          <w:color w:val="000000"/>
          <w:sz w:val="22"/>
          <w:szCs w:val="22"/>
          <w:lang w:val="en-US"/>
        </w:rPr>
        <w:t>results</w:t>
      </w:r>
      <w:r w:rsidRPr="00560D5D">
        <w:rPr>
          <w:color w:val="000000"/>
          <w:sz w:val="22"/>
          <w:szCs w:val="22"/>
          <w:lang w:val="en-US"/>
        </w:rPr>
        <w:t xml:space="preserve"> </w:t>
      </w:r>
      <w:r>
        <w:rPr>
          <w:color w:val="000000"/>
          <w:sz w:val="22"/>
          <w:szCs w:val="22"/>
          <w:lang w:val="en-US"/>
        </w:rPr>
        <w:t>on</w:t>
      </w:r>
      <w:r w:rsidRPr="00560D5D">
        <w:rPr>
          <w:color w:val="000000"/>
          <w:sz w:val="22"/>
          <w:szCs w:val="22"/>
          <w:lang w:val="en-US"/>
        </w:rPr>
        <w:t xml:space="preserve"> </w:t>
      </w:r>
      <w:r w:rsidR="009E6737">
        <w:rPr>
          <w:color w:val="000000"/>
          <w:sz w:val="22"/>
          <w:szCs w:val="22"/>
          <w:lang w:val="en-US"/>
        </w:rPr>
        <w:t>segments</w:t>
      </w:r>
      <w:r>
        <w:rPr>
          <w:color w:val="000000"/>
          <w:sz w:val="22"/>
          <w:szCs w:val="22"/>
          <w:lang w:val="en-US"/>
        </w:rPr>
        <w:t xml:space="preserve">.  </w:t>
      </w:r>
    </w:p>
    <w:p w:rsidR="002664E4" w:rsidRPr="00560D5D" w:rsidRDefault="002664E4" w:rsidP="002664E4">
      <w:pPr>
        <w:tabs>
          <w:tab w:val="left" w:pos="426"/>
        </w:tabs>
        <w:ind w:left="-709" w:firstLine="709"/>
        <w:jc w:val="both"/>
        <w:rPr>
          <w:color w:val="000000"/>
          <w:sz w:val="22"/>
          <w:szCs w:val="22"/>
          <w:lang w:val="en-US"/>
        </w:rPr>
      </w:pPr>
      <w:r>
        <w:rPr>
          <w:color w:val="000000"/>
          <w:sz w:val="22"/>
          <w:szCs w:val="22"/>
          <w:lang w:val="en-US"/>
        </w:rPr>
        <w:t xml:space="preserve">The </w:t>
      </w:r>
      <w:r w:rsidRPr="00560D5D">
        <w:rPr>
          <w:color w:val="000000"/>
          <w:sz w:val="22"/>
          <w:szCs w:val="22"/>
          <w:lang w:val="en-US"/>
        </w:rPr>
        <w:t>Group</w:t>
      </w:r>
      <w:r>
        <w:rPr>
          <w:color w:val="000000"/>
          <w:sz w:val="22"/>
          <w:szCs w:val="22"/>
          <w:lang w:val="en-US"/>
        </w:rPr>
        <w:t xml:space="preserve"> of the</w:t>
      </w:r>
      <w:r w:rsidRPr="00560D5D">
        <w:rPr>
          <w:color w:val="000000"/>
          <w:sz w:val="22"/>
          <w:szCs w:val="22"/>
          <w:lang w:val="en-US"/>
        </w:rPr>
        <w:t xml:space="preserve"> Fund, in </w:t>
      </w:r>
      <w:r>
        <w:rPr>
          <w:color w:val="000000"/>
          <w:sz w:val="22"/>
          <w:szCs w:val="22"/>
          <w:lang w:val="en-US"/>
        </w:rPr>
        <w:t>compliance with the L</w:t>
      </w:r>
      <w:r w:rsidRPr="00560D5D">
        <w:rPr>
          <w:color w:val="000000"/>
          <w:sz w:val="22"/>
          <w:szCs w:val="22"/>
          <w:lang w:val="en-US"/>
        </w:rPr>
        <w:t>aw on state property and the Decree of the Presi</w:t>
      </w:r>
      <w:r>
        <w:rPr>
          <w:color w:val="000000"/>
          <w:sz w:val="22"/>
          <w:szCs w:val="22"/>
          <w:lang w:val="en-US"/>
        </w:rPr>
        <w:t>dent of Republic of Kazakhstan “</w:t>
      </w:r>
      <w:r w:rsidRPr="00560D5D">
        <w:rPr>
          <w:color w:val="000000"/>
          <w:sz w:val="22"/>
          <w:szCs w:val="22"/>
          <w:lang w:val="en-US"/>
        </w:rPr>
        <w:t>On the system of state plannin</w:t>
      </w:r>
      <w:r>
        <w:rPr>
          <w:color w:val="000000"/>
          <w:sz w:val="22"/>
          <w:szCs w:val="22"/>
          <w:lang w:val="en-US"/>
        </w:rPr>
        <w:t>g in the Republic of Kazakhstan”</w:t>
      </w:r>
      <w:r w:rsidRPr="00560D5D">
        <w:rPr>
          <w:color w:val="000000"/>
          <w:sz w:val="22"/>
          <w:szCs w:val="22"/>
          <w:lang w:val="en-US"/>
        </w:rPr>
        <w:t xml:space="preserve"> directs its activities to achieve the strategic goals of the country, established </w:t>
      </w:r>
      <w:r>
        <w:rPr>
          <w:color w:val="000000"/>
          <w:sz w:val="22"/>
          <w:szCs w:val="22"/>
          <w:lang w:val="en-US"/>
        </w:rPr>
        <w:t xml:space="preserve">by </w:t>
      </w:r>
      <w:r w:rsidRPr="00560D5D">
        <w:rPr>
          <w:color w:val="000000"/>
          <w:sz w:val="22"/>
          <w:szCs w:val="22"/>
          <w:lang w:val="en-US"/>
        </w:rPr>
        <w:t xml:space="preserve">the Development Strategy of Kazakhstan 2020, the </w:t>
      </w:r>
      <w:r>
        <w:rPr>
          <w:color w:val="000000"/>
          <w:sz w:val="22"/>
          <w:szCs w:val="22"/>
          <w:lang w:val="en-US"/>
        </w:rPr>
        <w:t>State Program of Forced Industrial-I</w:t>
      </w:r>
      <w:r w:rsidRPr="00560D5D">
        <w:rPr>
          <w:color w:val="000000"/>
          <w:sz w:val="22"/>
          <w:szCs w:val="22"/>
          <w:lang w:val="en-US"/>
        </w:rPr>
        <w:t xml:space="preserve">nnovative </w:t>
      </w:r>
      <w:r>
        <w:rPr>
          <w:color w:val="000000"/>
          <w:sz w:val="22"/>
          <w:szCs w:val="22"/>
          <w:lang w:val="en-US"/>
        </w:rPr>
        <w:t>D</w:t>
      </w:r>
      <w:r w:rsidRPr="00560D5D">
        <w:rPr>
          <w:color w:val="000000"/>
          <w:sz w:val="22"/>
          <w:szCs w:val="22"/>
          <w:lang w:val="en-US"/>
        </w:rPr>
        <w:t xml:space="preserve">evelopment of Kazakhstan </w:t>
      </w:r>
      <w:r>
        <w:rPr>
          <w:color w:val="000000"/>
          <w:sz w:val="22"/>
          <w:szCs w:val="22"/>
          <w:lang w:val="en-US"/>
        </w:rPr>
        <w:t>for</w:t>
      </w:r>
      <w:r w:rsidRPr="00560D5D">
        <w:rPr>
          <w:color w:val="000000"/>
          <w:sz w:val="22"/>
          <w:szCs w:val="22"/>
          <w:lang w:val="en-US"/>
        </w:rPr>
        <w:t xml:space="preserve"> 2010 -2014 (hereinafter - the SPFIID) development programs in the rail industry, energy, oil and gas sector, etc.</w:t>
      </w:r>
    </w:p>
    <w:p w:rsidR="002664E4" w:rsidRDefault="002664E4" w:rsidP="007348E3">
      <w:pPr>
        <w:tabs>
          <w:tab w:val="left" w:pos="426"/>
        </w:tabs>
        <w:ind w:left="-709" w:firstLine="709"/>
        <w:jc w:val="both"/>
        <w:rPr>
          <w:color w:val="000000"/>
          <w:sz w:val="22"/>
          <w:szCs w:val="22"/>
          <w:lang w:val="en-US"/>
        </w:rPr>
      </w:pPr>
      <w:r w:rsidRPr="00560D5D">
        <w:rPr>
          <w:color w:val="000000"/>
          <w:sz w:val="22"/>
          <w:szCs w:val="22"/>
          <w:lang w:val="en-US"/>
        </w:rPr>
        <w:t xml:space="preserve"> The following macroeconomic indicators influenced </w:t>
      </w:r>
      <w:r>
        <w:rPr>
          <w:color w:val="000000"/>
          <w:sz w:val="22"/>
          <w:szCs w:val="22"/>
          <w:lang w:val="en-US"/>
        </w:rPr>
        <w:t xml:space="preserve">the </w:t>
      </w:r>
      <w:r w:rsidRPr="00560D5D">
        <w:rPr>
          <w:color w:val="000000"/>
          <w:sz w:val="22"/>
          <w:szCs w:val="22"/>
          <w:lang w:val="en-US"/>
        </w:rPr>
        <w:t xml:space="preserve">activities of the Fund </w:t>
      </w:r>
      <w:r w:rsidR="00545004">
        <w:rPr>
          <w:color w:val="000000"/>
          <w:sz w:val="22"/>
          <w:szCs w:val="22"/>
          <w:lang w:val="en-US"/>
        </w:rPr>
        <w:t>during the first half of 2012</w:t>
      </w:r>
    </w:p>
    <w:p w:rsidR="007348E3" w:rsidRPr="007348E3" w:rsidRDefault="007348E3" w:rsidP="007348E3">
      <w:pPr>
        <w:tabs>
          <w:tab w:val="left" w:pos="426"/>
        </w:tabs>
        <w:ind w:left="-709" w:firstLine="709"/>
        <w:jc w:val="both"/>
        <w:rPr>
          <w:color w:val="000000"/>
          <w:sz w:val="22"/>
          <w:szCs w:val="22"/>
          <w:lang w:val="en-US"/>
        </w:rPr>
      </w:pPr>
    </w:p>
    <w:tbl>
      <w:tblPr>
        <w:tblW w:w="8631"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9"/>
        <w:gridCol w:w="1718"/>
        <w:gridCol w:w="1701"/>
        <w:gridCol w:w="1543"/>
      </w:tblGrid>
      <w:tr w:rsidR="002664E4" w:rsidRPr="00BA5A84" w:rsidTr="007348E3">
        <w:tc>
          <w:tcPr>
            <w:tcW w:w="3669" w:type="dxa"/>
            <w:tcMar>
              <w:top w:w="0" w:type="dxa"/>
              <w:left w:w="108" w:type="dxa"/>
              <w:bottom w:w="0" w:type="dxa"/>
              <w:right w:w="108" w:type="dxa"/>
            </w:tcMar>
            <w:vAlign w:val="center"/>
            <w:hideMark/>
          </w:tcPr>
          <w:p w:rsidR="002664E4" w:rsidRPr="00560D5D" w:rsidRDefault="002664E4" w:rsidP="007348E3">
            <w:pPr>
              <w:tabs>
                <w:tab w:val="left" w:pos="426"/>
                <w:tab w:val="left" w:pos="523"/>
              </w:tabs>
              <w:autoSpaceDE w:val="0"/>
              <w:autoSpaceDN w:val="0"/>
              <w:jc w:val="center"/>
              <w:rPr>
                <w:rFonts w:eastAsia="Calibri"/>
                <w:b/>
                <w:bCs/>
                <w:color w:val="000000"/>
                <w:sz w:val="18"/>
                <w:szCs w:val="18"/>
                <w:lang w:val="en-US" w:eastAsia="en-US"/>
              </w:rPr>
            </w:pPr>
            <w:r>
              <w:rPr>
                <w:rFonts w:eastAsia="Calibri"/>
                <w:b/>
                <w:bCs/>
                <w:color w:val="000000"/>
                <w:sz w:val="18"/>
                <w:szCs w:val="18"/>
                <w:lang w:val="en-US"/>
              </w:rPr>
              <w:t xml:space="preserve">Name </w:t>
            </w:r>
          </w:p>
        </w:tc>
        <w:tc>
          <w:tcPr>
            <w:tcW w:w="1718" w:type="dxa"/>
            <w:tcMar>
              <w:top w:w="0" w:type="dxa"/>
              <w:left w:w="108" w:type="dxa"/>
              <w:bottom w:w="0" w:type="dxa"/>
              <w:right w:w="108" w:type="dxa"/>
            </w:tcMar>
            <w:vAlign w:val="center"/>
          </w:tcPr>
          <w:p w:rsidR="002664E4" w:rsidRPr="00560D5D" w:rsidRDefault="00545004" w:rsidP="00770BC8">
            <w:pPr>
              <w:tabs>
                <w:tab w:val="left" w:pos="426"/>
              </w:tabs>
              <w:autoSpaceDE w:val="0"/>
              <w:autoSpaceDN w:val="0"/>
              <w:ind w:left="-709" w:firstLine="709"/>
              <w:jc w:val="center"/>
              <w:rPr>
                <w:rFonts w:eastAsia="Calibri"/>
                <w:b/>
                <w:bCs/>
                <w:color w:val="000000"/>
                <w:sz w:val="18"/>
                <w:szCs w:val="18"/>
                <w:lang w:val="en-US" w:eastAsia="en-US"/>
              </w:rPr>
            </w:pPr>
            <w:r>
              <w:rPr>
                <w:rFonts w:eastAsia="Calibri"/>
                <w:b/>
                <w:bCs/>
                <w:color w:val="000000"/>
                <w:sz w:val="18"/>
                <w:szCs w:val="18"/>
                <w:lang w:val="en-US"/>
              </w:rPr>
              <w:t xml:space="preserve">1H </w:t>
            </w:r>
            <w:r>
              <w:rPr>
                <w:rFonts w:eastAsia="Calibri"/>
                <w:b/>
                <w:bCs/>
                <w:color w:val="000000"/>
                <w:sz w:val="18"/>
                <w:szCs w:val="18"/>
              </w:rPr>
              <w:t>201</w:t>
            </w:r>
            <w:r>
              <w:rPr>
                <w:rFonts w:eastAsia="Calibri"/>
                <w:b/>
                <w:bCs/>
                <w:color w:val="000000"/>
                <w:sz w:val="18"/>
                <w:szCs w:val="18"/>
                <w:lang w:val="en-US"/>
              </w:rPr>
              <w:t>2 estimation</w:t>
            </w:r>
          </w:p>
        </w:tc>
        <w:tc>
          <w:tcPr>
            <w:tcW w:w="1701" w:type="dxa"/>
            <w:tcMar>
              <w:top w:w="0" w:type="dxa"/>
              <w:left w:w="108" w:type="dxa"/>
              <w:bottom w:w="0" w:type="dxa"/>
              <w:right w:w="108" w:type="dxa"/>
            </w:tcMar>
            <w:vAlign w:val="center"/>
            <w:hideMark/>
          </w:tcPr>
          <w:p w:rsidR="002664E4" w:rsidRPr="00560D5D" w:rsidRDefault="00545004" w:rsidP="00545004">
            <w:pPr>
              <w:tabs>
                <w:tab w:val="left" w:pos="426"/>
              </w:tabs>
              <w:autoSpaceDE w:val="0"/>
              <w:autoSpaceDN w:val="0"/>
              <w:ind w:left="-709" w:firstLine="601"/>
              <w:jc w:val="center"/>
              <w:rPr>
                <w:rFonts w:eastAsia="Calibri"/>
                <w:b/>
                <w:bCs/>
                <w:color w:val="000000"/>
                <w:sz w:val="18"/>
                <w:szCs w:val="18"/>
                <w:lang w:val="en-US" w:eastAsia="en-US"/>
              </w:rPr>
            </w:pPr>
            <w:r>
              <w:rPr>
                <w:rFonts w:eastAsia="Calibri"/>
                <w:b/>
                <w:bCs/>
                <w:color w:val="000000"/>
                <w:sz w:val="18"/>
                <w:szCs w:val="18"/>
                <w:lang w:val="en-US"/>
              </w:rPr>
              <w:t xml:space="preserve">1H </w:t>
            </w:r>
            <w:r w:rsidRPr="00BA5A84">
              <w:rPr>
                <w:rFonts w:eastAsia="Calibri"/>
                <w:b/>
                <w:bCs/>
                <w:color w:val="000000"/>
                <w:sz w:val="18"/>
                <w:szCs w:val="18"/>
              </w:rPr>
              <w:t>2011</w:t>
            </w:r>
            <w:r>
              <w:rPr>
                <w:rFonts w:eastAsia="Calibri"/>
                <w:b/>
                <w:bCs/>
                <w:color w:val="000000"/>
                <w:sz w:val="18"/>
                <w:szCs w:val="18"/>
                <w:lang w:val="en-US"/>
              </w:rPr>
              <w:t xml:space="preserve"> estimation</w:t>
            </w:r>
            <w:r w:rsidRPr="00BA5A84">
              <w:rPr>
                <w:rFonts w:eastAsia="Calibri"/>
                <w:b/>
                <w:bCs/>
                <w:color w:val="000000"/>
                <w:sz w:val="18"/>
                <w:szCs w:val="18"/>
              </w:rPr>
              <w:t xml:space="preserve"> </w:t>
            </w:r>
          </w:p>
        </w:tc>
        <w:tc>
          <w:tcPr>
            <w:tcW w:w="1543" w:type="dxa"/>
            <w:tcMar>
              <w:top w:w="0" w:type="dxa"/>
              <w:left w:w="108" w:type="dxa"/>
              <w:bottom w:w="0" w:type="dxa"/>
              <w:right w:w="108" w:type="dxa"/>
            </w:tcMar>
            <w:vAlign w:val="center"/>
            <w:hideMark/>
          </w:tcPr>
          <w:p w:rsidR="002664E4" w:rsidRPr="00BA5A84" w:rsidRDefault="002664E4" w:rsidP="00770BC8">
            <w:pPr>
              <w:tabs>
                <w:tab w:val="left" w:pos="426"/>
              </w:tabs>
              <w:autoSpaceDE w:val="0"/>
              <w:autoSpaceDN w:val="0"/>
              <w:ind w:left="-709" w:firstLine="709"/>
              <w:jc w:val="center"/>
              <w:rPr>
                <w:rFonts w:eastAsia="Calibri"/>
                <w:b/>
                <w:bCs/>
                <w:color w:val="000000"/>
                <w:sz w:val="18"/>
                <w:szCs w:val="18"/>
                <w:lang w:eastAsia="en-US"/>
              </w:rPr>
            </w:pPr>
            <w:r>
              <w:rPr>
                <w:rFonts w:eastAsia="Calibri"/>
                <w:b/>
                <w:bCs/>
                <w:color w:val="000000"/>
                <w:sz w:val="18"/>
                <w:szCs w:val="18"/>
                <w:lang w:val="en-US"/>
              </w:rPr>
              <w:t>Change</w:t>
            </w:r>
            <w:r w:rsidRPr="00BA5A84">
              <w:rPr>
                <w:rFonts w:eastAsia="Calibri"/>
                <w:b/>
                <w:bCs/>
                <w:color w:val="000000"/>
                <w:sz w:val="18"/>
                <w:szCs w:val="18"/>
              </w:rPr>
              <w:t xml:space="preserve">, </w:t>
            </w:r>
            <w:r>
              <w:rPr>
                <w:rFonts w:eastAsia="Calibri"/>
                <w:b/>
                <w:bCs/>
                <w:color w:val="000000"/>
                <w:sz w:val="18"/>
                <w:szCs w:val="18"/>
                <w:lang w:val="en-US"/>
              </w:rPr>
              <w:t>in</w:t>
            </w:r>
            <w:r w:rsidRPr="00BA5A84">
              <w:rPr>
                <w:rFonts w:eastAsia="Calibri"/>
                <w:b/>
                <w:bCs/>
                <w:color w:val="000000"/>
                <w:sz w:val="18"/>
                <w:szCs w:val="18"/>
              </w:rPr>
              <w:t xml:space="preserve"> %</w:t>
            </w:r>
          </w:p>
        </w:tc>
      </w:tr>
      <w:tr w:rsidR="00545004" w:rsidRPr="00BA5A84" w:rsidTr="007348E3">
        <w:tc>
          <w:tcPr>
            <w:tcW w:w="3669" w:type="dxa"/>
            <w:tcMar>
              <w:top w:w="0" w:type="dxa"/>
              <w:left w:w="108" w:type="dxa"/>
              <w:bottom w:w="0" w:type="dxa"/>
              <w:right w:w="108" w:type="dxa"/>
            </w:tcMar>
            <w:hideMark/>
          </w:tcPr>
          <w:p w:rsidR="00545004" w:rsidRPr="006E4D72" w:rsidRDefault="00545004" w:rsidP="00C24DD6">
            <w:pPr>
              <w:tabs>
                <w:tab w:val="left" w:pos="426"/>
              </w:tabs>
              <w:autoSpaceDE w:val="0"/>
              <w:autoSpaceDN w:val="0"/>
              <w:ind w:left="18"/>
              <w:rPr>
                <w:rFonts w:eastAsia="Calibri"/>
                <w:color w:val="000000"/>
                <w:sz w:val="18"/>
                <w:szCs w:val="18"/>
                <w:lang w:val="en-US" w:eastAsia="en-US"/>
              </w:rPr>
            </w:pPr>
            <w:r w:rsidRPr="006E4D72">
              <w:rPr>
                <w:rFonts w:eastAsia="Calibri"/>
                <w:color w:val="000000"/>
                <w:sz w:val="18"/>
                <w:szCs w:val="18"/>
                <w:lang w:val="en-US"/>
              </w:rPr>
              <w:t>Real GDP growth,</w:t>
            </w:r>
            <w:r>
              <w:rPr>
                <w:rFonts w:eastAsia="Calibri"/>
                <w:color w:val="000000"/>
                <w:sz w:val="18"/>
                <w:szCs w:val="18"/>
                <w:lang w:val="en-US"/>
              </w:rPr>
              <w:t xml:space="preserve"> in </w:t>
            </w:r>
            <w:r w:rsidRPr="006E4D72">
              <w:rPr>
                <w:rFonts w:eastAsia="Calibri"/>
                <w:color w:val="000000"/>
                <w:sz w:val="18"/>
                <w:szCs w:val="18"/>
                <w:lang w:val="en-US"/>
              </w:rPr>
              <w:t xml:space="preserve">% </w:t>
            </w:r>
          </w:p>
        </w:tc>
        <w:tc>
          <w:tcPr>
            <w:tcW w:w="1718" w:type="dxa"/>
            <w:tcMar>
              <w:top w:w="0" w:type="dxa"/>
              <w:left w:w="108" w:type="dxa"/>
              <w:bottom w:w="0" w:type="dxa"/>
              <w:right w:w="108" w:type="dxa"/>
            </w:tcMar>
            <w:vAlign w:val="center"/>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105,6</w:t>
            </w:r>
          </w:p>
        </w:tc>
        <w:tc>
          <w:tcPr>
            <w:tcW w:w="1701" w:type="dxa"/>
            <w:tcMar>
              <w:top w:w="0" w:type="dxa"/>
              <w:left w:w="108" w:type="dxa"/>
              <w:bottom w:w="0" w:type="dxa"/>
              <w:right w:w="108" w:type="dxa"/>
            </w:tcMar>
            <w:vAlign w:val="center"/>
            <w:hideMark/>
          </w:tcPr>
          <w:p w:rsidR="00545004" w:rsidRPr="005C6AC2" w:rsidRDefault="00545004" w:rsidP="0035613B">
            <w:pPr>
              <w:autoSpaceDE w:val="0"/>
              <w:autoSpaceDN w:val="0"/>
              <w:ind w:left="-709" w:firstLine="709"/>
              <w:jc w:val="center"/>
              <w:rPr>
                <w:rStyle w:val="af5"/>
                <w:rFonts w:eastAsiaTheme="minorHAnsi"/>
                <w:color w:val="000000"/>
                <w:sz w:val="18"/>
                <w:szCs w:val="18"/>
              </w:rPr>
            </w:pPr>
            <w:r w:rsidRPr="005C6AC2">
              <w:rPr>
                <w:color w:val="000000"/>
                <w:sz w:val="18"/>
                <w:szCs w:val="18"/>
              </w:rPr>
              <w:t>107,1</w:t>
            </w:r>
          </w:p>
        </w:tc>
        <w:tc>
          <w:tcPr>
            <w:tcW w:w="1543" w:type="dxa"/>
            <w:tcMar>
              <w:top w:w="0" w:type="dxa"/>
              <w:left w:w="108" w:type="dxa"/>
              <w:bottom w:w="0" w:type="dxa"/>
              <w:right w:w="108" w:type="dxa"/>
            </w:tcMar>
            <w:vAlign w:val="bottom"/>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-1,5</w:t>
            </w:r>
            <w:r w:rsidRPr="005C6AC2">
              <w:rPr>
                <w:rStyle w:val="af5"/>
                <w:color w:val="000000"/>
                <w:sz w:val="18"/>
                <w:szCs w:val="18"/>
              </w:rPr>
              <w:footnoteReference w:customMarkFollows="1" w:id="1"/>
              <w:t>[1]</w:t>
            </w:r>
          </w:p>
        </w:tc>
      </w:tr>
      <w:tr w:rsidR="00545004" w:rsidRPr="00BA5A84" w:rsidTr="007348E3">
        <w:tc>
          <w:tcPr>
            <w:tcW w:w="3669" w:type="dxa"/>
            <w:tcMar>
              <w:top w:w="0" w:type="dxa"/>
              <w:left w:w="108" w:type="dxa"/>
              <w:bottom w:w="0" w:type="dxa"/>
              <w:right w:w="108" w:type="dxa"/>
            </w:tcMar>
            <w:hideMark/>
          </w:tcPr>
          <w:p w:rsidR="00545004" w:rsidRPr="006E4D72" w:rsidRDefault="00545004" w:rsidP="00770BC8">
            <w:pPr>
              <w:tabs>
                <w:tab w:val="left" w:pos="426"/>
              </w:tabs>
              <w:autoSpaceDE w:val="0"/>
              <w:autoSpaceDN w:val="0"/>
              <w:ind w:left="-709" w:firstLine="709"/>
              <w:rPr>
                <w:rFonts w:eastAsia="Calibri"/>
                <w:color w:val="000000"/>
                <w:sz w:val="18"/>
                <w:szCs w:val="18"/>
                <w:lang w:val="en-US" w:eastAsia="en-US"/>
              </w:rPr>
            </w:pPr>
            <w:r w:rsidRPr="006E4D72">
              <w:rPr>
                <w:rFonts w:eastAsia="Calibri"/>
                <w:color w:val="000000"/>
                <w:sz w:val="18"/>
                <w:szCs w:val="18"/>
                <w:lang w:val="en-US"/>
              </w:rPr>
              <w:t>Inflation</w:t>
            </w:r>
            <w:r>
              <w:rPr>
                <w:rFonts w:eastAsia="Calibri"/>
                <w:color w:val="000000"/>
                <w:sz w:val="18"/>
                <w:szCs w:val="18"/>
                <w:lang w:val="en-US"/>
              </w:rPr>
              <w:t xml:space="preserve"> at the </w:t>
            </w:r>
            <w:r w:rsidRPr="006E4D72">
              <w:rPr>
                <w:rFonts w:eastAsia="Calibri"/>
                <w:color w:val="000000"/>
                <w:sz w:val="18"/>
                <w:szCs w:val="18"/>
                <w:lang w:val="en-US"/>
              </w:rPr>
              <w:t>end of period, %</w:t>
            </w:r>
          </w:p>
        </w:tc>
        <w:tc>
          <w:tcPr>
            <w:tcW w:w="1718" w:type="dxa"/>
            <w:tcMar>
              <w:top w:w="0" w:type="dxa"/>
              <w:left w:w="108" w:type="dxa"/>
              <w:bottom w:w="0" w:type="dxa"/>
              <w:right w:w="108" w:type="dxa"/>
            </w:tcMar>
            <w:vAlign w:val="center"/>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2,7</w:t>
            </w:r>
          </w:p>
        </w:tc>
        <w:tc>
          <w:tcPr>
            <w:tcW w:w="1701" w:type="dxa"/>
            <w:tcMar>
              <w:top w:w="0" w:type="dxa"/>
              <w:left w:w="108" w:type="dxa"/>
              <w:bottom w:w="0" w:type="dxa"/>
              <w:right w:w="108" w:type="dxa"/>
            </w:tcMar>
            <w:vAlign w:val="center"/>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5,1</w:t>
            </w:r>
          </w:p>
        </w:tc>
        <w:tc>
          <w:tcPr>
            <w:tcW w:w="1543" w:type="dxa"/>
            <w:tcMar>
              <w:top w:w="0" w:type="dxa"/>
              <w:left w:w="108" w:type="dxa"/>
              <w:bottom w:w="0" w:type="dxa"/>
              <w:right w:w="108" w:type="dxa"/>
            </w:tcMar>
            <w:vAlign w:val="bottom"/>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-47</w:t>
            </w:r>
          </w:p>
        </w:tc>
      </w:tr>
      <w:tr w:rsidR="00545004" w:rsidRPr="00BA5A84" w:rsidTr="007348E3">
        <w:tc>
          <w:tcPr>
            <w:tcW w:w="3669" w:type="dxa"/>
            <w:tcMar>
              <w:top w:w="0" w:type="dxa"/>
              <w:left w:w="108" w:type="dxa"/>
              <w:bottom w:w="0" w:type="dxa"/>
              <w:right w:w="108" w:type="dxa"/>
            </w:tcMar>
            <w:hideMark/>
          </w:tcPr>
          <w:p w:rsidR="00545004" w:rsidRPr="006E4D72" w:rsidRDefault="00545004" w:rsidP="00770BC8">
            <w:pPr>
              <w:tabs>
                <w:tab w:val="left" w:pos="426"/>
              </w:tabs>
              <w:autoSpaceDE w:val="0"/>
              <w:autoSpaceDN w:val="0"/>
              <w:ind w:left="-709" w:firstLine="709"/>
              <w:rPr>
                <w:rFonts w:eastAsia="Calibri"/>
                <w:color w:val="000000"/>
                <w:sz w:val="18"/>
                <w:szCs w:val="18"/>
                <w:lang w:val="en-US" w:eastAsia="en-US"/>
              </w:rPr>
            </w:pPr>
            <w:r w:rsidRPr="006E4D72">
              <w:rPr>
                <w:rFonts w:eastAsia="Calibri"/>
                <w:color w:val="000000"/>
                <w:sz w:val="18"/>
                <w:szCs w:val="18"/>
                <w:lang w:val="en-US"/>
              </w:rPr>
              <w:t>Exchange</w:t>
            </w:r>
            <w:r>
              <w:rPr>
                <w:rFonts w:eastAsia="Calibri"/>
                <w:color w:val="000000"/>
                <w:sz w:val="18"/>
                <w:szCs w:val="18"/>
                <w:lang w:val="en-US"/>
              </w:rPr>
              <w:t xml:space="preserve"> </w:t>
            </w:r>
            <w:r w:rsidRPr="006E4D72">
              <w:rPr>
                <w:rFonts w:eastAsia="Calibri"/>
                <w:color w:val="000000"/>
                <w:sz w:val="18"/>
                <w:szCs w:val="18"/>
                <w:lang w:val="en-US"/>
              </w:rPr>
              <w:t xml:space="preserve"> rate of </w:t>
            </w:r>
            <w:r>
              <w:rPr>
                <w:rFonts w:eastAsia="Calibri"/>
                <w:color w:val="000000"/>
                <w:sz w:val="18"/>
                <w:szCs w:val="18"/>
                <w:lang w:val="en-US"/>
              </w:rPr>
              <w:t>KZT</w:t>
            </w:r>
            <w:r w:rsidRPr="006E4D72">
              <w:rPr>
                <w:rFonts w:eastAsia="Calibri"/>
                <w:color w:val="000000"/>
                <w:sz w:val="18"/>
                <w:szCs w:val="18"/>
                <w:lang w:val="en-US"/>
              </w:rPr>
              <w:t xml:space="preserve"> to US</w:t>
            </w:r>
            <w:r>
              <w:rPr>
                <w:rFonts w:eastAsia="Calibri"/>
                <w:color w:val="000000"/>
                <w:sz w:val="18"/>
                <w:szCs w:val="18"/>
                <w:lang w:val="en-US"/>
              </w:rPr>
              <w:t>D</w:t>
            </w:r>
          </w:p>
        </w:tc>
        <w:tc>
          <w:tcPr>
            <w:tcW w:w="1718" w:type="dxa"/>
            <w:tcMar>
              <w:top w:w="0" w:type="dxa"/>
              <w:left w:w="108" w:type="dxa"/>
              <w:bottom w:w="0" w:type="dxa"/>
              <w:right w:w="108" w:type="dxa"/>
            </w:tcMar>
            <w:vAlign w:val="center"/>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rPr>
              <w:t>149,42</w:t>
            </w:r>
          </w:p>
        </w:tc>
        <w:tc>
          <w:tcPr>
            <w:tcW w:w="1701" w:type="dxa"/>
            <w:tcMar>
              <w:top w:w="0" w:type="dxa"/>
              <w:left w:w="108" w:type="dxa"/>
              <w:bottom w:w="0" w:type="dxa"/>
              <w:right w:w="108" w:type="dxa"/>
            </w:tcMar>
            <w:vAlign w:val="center"/>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145,83</w:t>
            </w:r>
          </w:p>
        </w:tc>
        <w:tc>
          <w:tcPr>
            <w:tcW w:w="1543" w:type="dxa"/>
            <w:tcMar>
              <w:top w:w="0" w:type="dxa"/>
              <w:left w:w="108" w:type="dxa"/>
              <w:bottom w:w="0" w:type="dxa"/>
              <w:right w:w="108" w:type="dxa"/>
            </w:tcMar>
            <w:vAlign w:val="bottom"/>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2,5</w:t>
            </w:r>
          </w:p>
        </w:tc>
      </w:tr>
      <w:tr w:rsidR="00545004" w:rsidRPr="00BA5A84" w:rsidTr="007348E3">
        <w:tc>
          <w:tcPr>
            <w:tcW w:w="3669" w:type="dxa"/>
            <w:tcMar>
              <w:top w:w="0" w:type="dxa"/>
              <w:left w:w="108" w:type="dxa"/>
              <w:bottom w:w="0" w:type="dxa"/>
              <w:right w:w="108" w:type="dxa"/>
            </w:tcMar>
            <w:hideMark/>
          </w:tcPr>
          <w:p w:rsidR="00545004" w:rsidRPr="006E4D72" w:rsidRDefault="00545004" w:rsidP="00C24DD6">
            <w:pPr>
              <w:tabs>
                <w:tab w:val="left" w:pos="426"/>
              </w:tabs>
              <w:autoSpaceDE w:val="0"/>
              <w:autoSpaceDN w:val="0"/>
              <w:rPr>
                <w:rFonts w:eastAsia="Calibri"/>
                <w:color w:val="000000"/>
                <w:sz w:val="18"/>
                <w:szCs w:val="18"/>
                <w:lang w:val="en-US" w:eastAsia="en-US"/>
              </w:rPr>
            </w:pPr>
            <w:r>
              <w:rPr>
                <w:rFonts w:eastAsia="Calibri"/>
                <w:color w:val="000000"/>
                <w:sz w:val="18"/>
                <w:szCs w:val="18"/>
                <w:lang w:val="en-US"/>
              </w:rPr>
              <w:t>World</w:t>
            </w:r>
            <w:r w:rsidRPr="006E4D72">
              <w:rPr>
                <w:rFonts w:eastAsia="Calibri"/>
                <w:color w:val="000000"/>
                <w:sz w:val="18"/>
                <w:szCs w:val="18"/>
                <w:lang w:val="en-US"/>
              </w:rPr>
              <w:t xml:space="preserve"> </w:t>
            </w:r>
            <w:r w:rsidRPr="00BA5A84">
              <w:rPr>
                <w:rFonts w:eastAsia="Calibri"/>
                <w:color w:val="000000"/>
                <w:sz w:val="18"/>
                <w:szCs w:val="18"/>
                <w:lang w:val="en-US"/>
              </w:rPr>
              <w:t>Brent</w:t>
            </w:r>
            <w:r w:rsidRPr="006E4D72">
              <w:rPr>
                <w:rFonts w:eastAsia="Calibri"/>
                <w:color w:val="000000"/>
                <w:sz w:val="18"/>
                <w:szCs w:val="18"/>
                <w:lang w:val="en-US"/>
              </w:rPr>
              <w:t xml:space="preserve"> </w:t>
            </w:r>
            <w:r>
              <w:rPr>
                <w:rFonts w:eastAsia="Calibri"/>
                <w:color w:val="000000"/>
                <w:sz w:val="18"/>
                <w:szCs w:val="18"/>
                <w:lang w:val="en-US"/>
              </w:rPr>
              <w:t>oil</w:t>
            </w:r>
            <w:r w:rsidRPr="006E4D72">
              <w:rPr>
                <w:rFonts w:eastAsia="Calibri"/>
                <w:color w:val="000000"/>
                <w:sz w:val="18"/>
                <w:szCs w:val="18"/>
                <w:lang w:val="en-US"/>
              </w:rPr>
              <w:t xml:space="preserve"> </w:t>
            </w:r>
            <w:r>
              <w:rPr>
                <w:rFonts w:eastAsia="Calibri"/>
                <w:color w:val="000000"/>
                <w:sz w:val="18"/>
                <w:szCs w:val="18"/>
                <w:lang w:val="en-US"/>
              </w:rPr>
              <w:t>price</w:t>
            </w:r>
            <w:r w:rsidRPr="006E4D72">
              <w:rPr>
                <w:rFonts w:eastAsia="Calibri"/>
                <w:color w:val="000000"/>
                <w:sz w:val="18"/>
                <w:szCs w:val="18"/>
                <w:lang w:val="en-US"/>
              </w:rPr>
              <w:t xml:space="preserve">,  </w:t>
            </w:r>
            <w:r>
              <w:rPr>
                <w:rFonts w:eastAsia="Calibri"/>
                <w:color w:val="000000"/>
                <w:sz w:val="18"/>
                <w:szCs w:val="18"/>
                <w:lang w:val="en-US"/>
              </w:rPr>
              <w:t>USD</w:t>
            </w:r>
            <w:r w:rsidRPr="006E4D72">
              <w:rPr>
                <w:rFonts w:eastAsia="Calibri"/>
                <w:color w:val="000000"/>
                <w:sz w:val="18"/>
                <w:szCs w:val="18"/>
                <w:lang w:val="en-US"/>
              </w:rPr>
              <w:t>/</w:t>
            </w:r>
            <w:r w:rsidRPr="006E4D72">
              <w:rPr>
                <w:lang w:val="en-US"/>
              </w:rPr>
              <w:t xml:space="preserve"> </w:t>
            </w:r>
            <w:r w:rsidRPr="006E4D72">
              <w:rPr>
                <w:rFonts w:eastAsia="Calibri"/>
                <w:color w:val="000000"/>
                <w:sz w:val="18"/>
                <w:szCs w:val="18"/>
                <w:lang w:val="en-US"/>
              </w:rPr>
              <w:t>barrel on average for the year</w:t>
            </w:r>
            <w:r w:rsidR="00C24DD6">
              <w:rPr>
                <w:rFonts w:eastAsia="Calibri"/>
                <w:color w:val="000000"/>
                <w:sz w:val="18"/>
                <w:szCs w:val="18"/>
                <w:lang w:val="en-US"/>
              </w:rPr>
              <w:t xml:space="preserve"> for</w:t>
            </w:r>
            <w:r w:rsidR="00C24DD6" w:rsidRPr="00C24DD6">
              <w:rPr>
                <w:rFonts w:eastAsia="Calibri"/>
                <w:color w:val="000000"/>
                <w:sz w:val="18"/>
                <w:szCs w:val="18"/>
                <w:lang w:val="en-US"/>
              </w:rPr>
              <w:t xml:space="preserve"> the reporting period</w:t>
            </w:r>
          </w:p>
        </w:tc>
        <w:tc>
          <w:tcPr>
            <w:tcW w:w="1718" w:type="dxa"/>
            <w:tcMar>
              <w:top w:w="0" w:type="dxa"/>
              <w:left w:w="108" w:type="dxa"/>
              <w:bottom w:w="0" w:type="dxa"/>
              <w:right w:w="108" w:type="dxa"/>
            </w:tcMar>
            <w:vAlign w:val="center"/>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113,3</w:t>
            </w:r>
          </w:p>
        </w:tc>
        <w:tc>
          <w:tcPr>
            <w:tcW w:w="1701" w:type="dxa"/>
            <w:tcMar>
              <w:top w:w="0" w:type="dxa"/>
              <w:left w:w="108" w:type="dxa"/>
              <w:bottom w:w="0" w:type="dxa"/>
              <w:right w:w="108" w:type="dxa"/>
            </w:tcMar>
            <w:vAlign w:val="center"/>
            <w:hideMark/>
          </w:tcPr>
          <w:p w:rsidR="00545004" w:rsidRPr="005C6AC2" w:rsidRDefault="00545004" w:rsidP="0035613B">
            <w:pPr>
              <w:autoSpaceDE w:val="0"/>
              <w:autoSpaceDN w:val="0"/>
              <w:ind w:left="-709" w:firstLine="709"/>
              <w:jc w:val="center"/>
              <w:rPr>
                <w:rFonts w:eastAsiaTheme="minorHAnsi"/>
                <w:color w:val="000000"/>
                <w:sz w:val="18"/>
                <w:szCs w:val="18"/>
                <w:lang w:eastAsia="en-US"/>
              </w:rPr>
            </w:pPr>
            <w:r w:rsidRPr="005C6AC2">
              <w:rPr>
                <w:color w:val="000000"/>
                <w:sz w:val="18"/>
                <w:szCs w:val="18"/>
                <w:lang w:eastAsia="en-US"/>
              </w:rPr>
              <w:t>111,1</w:t>
            </w:r>
          </w:p>
        </w:tc>
        <w:tc>
          <w:tcPr>
            <w:tcW w:w="1543" w:type="dxa"/>
            <w:tcMar>
              <w:top w:w="0" w:type="dxa"/>
              <w:left w:w="108" w:type="dxa"/>
              <w:bottom w:w="0" w:type="dxa"/>
              <w:right w:w="108" w:type="dxa"/>
            </w:tcMar>
            <w:vAlign w:val="bottom"/>
            <w:hideMark/>
          </w:tcPr>
          <w:p w:rsidR="00545004" w:rsidRPr="005C6AC2" w:rsidRDefault="00545004" w:rsidP="0035613B">
            <w:pPr>
              <w:autoSpaceDE w:val="0"/>
              <w:autoSpaceDN w:val="0"/>
              <w:spacing w:line="360" w:lineRule="auto"/>
              <w:ind w:left="-709" w:firstLine="709"/>
              <w:jc w:val="center"/>
              <w:rPr>
                <w:rFonts w:eastAsiaTheme="minorHAnsi"/>
                <w:color w:val="000000"/>
                <w:sz w:val="18"/>
                <w:szCs w:val="18"/>
                <w:lang w:eastAsia="en-US"/>
              </w:rPr>
            </w:pPr>
            <w:r w:rsidRPr="005C6AC2">
              <w:rPr>
                <w:color w:val="000000"/>
                <w:sz w:val="18"/>
                <w:szCs w:val="18"/>
                <w:lang w:eastAsia="en-US"/>
              </w:rPr>
              <w:t>2</w:t>
            </w:r>
          </w:p>
        </w:tc>
      </w:tr>
    </w:tbl>
    <w:p w:rsidR="002664E4" w:rsidRDefault="002664E4" w:rsidP="002664E4">
      <w:pPr>
        <w:tabs>
          <w:tab w:val="left" w:pos="426"/>
        </w:tabs>
        <w:autoSpaceDE w:val="0"/>
        <w:autoSpaceDN w:val="0"/>
        <w:adjustRightInd w:val="0"/>
        <w:ind w:left="-567" w:firstLine="567"/>
        <w:jc w:val="both"/>
        <w:rPr>
          <w:sz w:val="22"/>
          <w:szCs w:val="22"/>
        </w:rPr>
      </w:pPr>
    </w:p>
    <w:p w:rsidR="002664E4" w:rsidRDefault="002664E4" w:rsidP="002664E4">
      <w:pPr>
        <w:tabs>
          <w:tab w:val="num" w:pos="-567"/>
          <w:tab w:val="left" w:pos="1260"/>
        </w:tabs>
        <w:ind w:left="-567" w:firstLine="567"/>
        <w:jc w:val="both"/>
        <w:rPr>
          <w:sz w:val="22"/>
          <w:szCs w:val="22"/>
          <w:lang w:val="en-US"/>
        </w:rPr>
      </w:pPr>
      <w:r w:rsidRPr="006E4D72">
        <w:rPr>
          <w:sz w:val="22"/>
          <w:szCs w:val="22"/>
          <w:lang w:val="en-US"/>
        </w:rPr>
        <w:t xml:space="preserve">The interaction of the </w:t>
      </w:r>
      <w:r>
        <w:rPr>
          <w:sz w:val="22"/>
          <w:szCs w:val="22"/>
          <w:lang w:val="en-US"/>
        </w:rPr>
        <w:t xml:space="preserve">Group of the </w:t>
      </w:r>
      <w:r w:rsidRPr="006E4D72">
        <w:rPr>
          <w:sz w:val="22"/>
          <w:szCs w:val="22"/>
          <w:lang w:val="en-US"/>
        </w:rPr>
        <w:t>Fund with the Government of the Republic of Kazakhstan is an integral part of the Fund</w:t>
      </w:r>
      <w:r>
        <w:rPr>
          <w:sz w:val="22"/>
          <w:szCs w:val="22"/>
          <w:lang w:val="en-US"/>
        </w:rPr>
        <w:t>’s operations</w:t>
      </w:r>
      <w:r w:rsidRPr="006E4D72">
        <w:rPr>
          <w:sz w:val="22"/>
          <w:szCs w:val="22"/>
          <w:lang w:val="en-US"/>
        </w:rPr>
        <w:t>, due to many-sided nature of the functions of the Government of the Republic of Kazakhstan with respect to the Fund: Shareholder, the tariff regulator, coordinator of the government and industry programs.</w:t>
      </w:r>
    </w:p>
    <w:p w:rsidR="002664E4" w:rsidRPr="006E4D72" w:rsidRDefault="002664E4" w:rsidP="002664E4">
      <w:pPr>
        <w:tabs>
          <w:tab w:val="num" w:pos="-567"/>
          <w:tab w:val="left" w:pos="1260"/>
        </w:tabs>
        <w:ind w:left="-567" w:firstLine="567"/>
        <w:jc w:val="both"/>
        <w:rPr>
          <w:sz w:val="22"/>
          <w:szCs w:val="22"/>
          <w:lang w:val="en-US"/>
        </w:rPr>
      </w:pPr>
      <w:r w:rsidRPr="006E4D72">
        <w:rPr>
          <w:sz w:val="22"/>
          <w:szCs w:val="22"/>
          <w:lang w:val="en-US"/>
        </w:rPr>
        <w:t xml:space="preserve">In accordance with </w:t>
      </w:r>
      <w:r w:rsidR="00545004">
        <w:rPr>
          <w:sz w:val="22"/>
          <w:szCs w:val="22"/>
          <w:lang w:val="en-US"/>
        </w:rPr>
        <w:t xml:space="preserve">abbreviated consolidated financial statements of the Fund for the first half of 2012 and </w:t>
      </w:r>
      <w:r w:rsidRPr="006E4D72">
        <w:rPr>
          <w:sz w:val="22"/>
          <w:szCs w:val="22"/>
          <w:lang w:val="en-US"/>
        </w:rPr>
        <w:t xml:space="preserve">IFRS, the total amount of </w:t>
      </w:r>
      <w:r w:rsidRPr="00545004">
        <w:rPr>
          <w:i/>
          <w:sz w:val="22"/>
          <w:szCs w:val="22"/>
          <w:lang w:val="en-US"/>
        </w:rPr>
        <w:t>dividends</w:t>
      </w:r>
      <w:r w:rsidRPr="006E4D72">
        <w:rPr>
          <w:sz w:val="22"/>
          <w:szCs w:val="22"/>
          <w:lang w:val="en-US"/>
        </w:rPr>
        <w:t>, directed by the Fund</w:t>
      </w:r>
      <w:r>
        <w:rPr>
          <w:sz w:val="22"/>
          <w:szCs w:val="22"/>
          <w:lang w:val="en-US"/>
        </w:rPr>
        <w:t xml:space="preserve"> to the Shareholder in </w:t>
      </w:r>
      <w:r w:rsidR="007E6AC5">
        <w:rPr>
          <w:sz w:val="22"/>
          <w:szCs w:val="22"/>
          <w:lang w:val="en-US"/>
        </w:rPr>
        <w:t>H</w:t>
      </w:r>
      <w:r w:rsidR="002827F1">
        <w:rPr>
          <w:sz w:val="22"/>
          <w:szCs w:val="22"/>
          <w:lang w:val="en-US"/>
        </w:rPr>
        <w:t>1</w:t>
      </w:r>
      <w:r w:rsidR="007E6AC5">
        <w:rPr>
          <w:sz w:val="22"/>
          <w:szCs w:val="22"/>
          <w:lang w:val="en-US"/>
        </w:rPr>
        <w:t xml:space="preserve"> 2012 </w:t>
      </w:r>
      <w:r>
        <w:rPr>
          <w:sz w:val="22"/>
          <w:szCs w:val="22"/>
          <w:lang w:val="en-US"/>
        </w:rPr>
        <w:t>is KZT</w:t>
      </w:r>
      <w:r w:rsidRPr="006E4D72">
        <w:rPr>
          <w:sz w:val="22"/>
          <w:szCs w:val="22"/>
          <w:lang w:val="en-US"/>
        </w:rPr>
        <w:t xml:space="preserve"> </w:t>
      </w:r>
      <w:r w:rsidR="007E6AC5">
        <w:rPr>
          <w:sz w:val="22"/>
          <w:szCs w:val="22"/>
          <w:lang w:val="en-US"/>
        </w:rPr>
        <w:t xml:space="preserve">173.2 billion, </w:t>
      </w:r>
      <w:r w:rsidRPr="006E4D72">
        <w:rPr>
          <w:sz w:val="22"/>
          <w:szCs w:val="22"/>
          <w:lang w:val="en-US"/>
        </w:rPr>
        <w:t>in particular:</w:t>
      </w:r>
      <w:r>
        <w:rPr>
          <w:sz w:val="22"/>
          <w:szCs w:val="22"/>
          <w:lang w:val="en-US"/>
        </w:rPr>
        <w:t xml:space="preserve">  </w:t>
      </w:r>
    </w:p>
    <w:p w:rsidR="007E6AC5" w:rsidRPr="007E6AC5" w:rsidRDefault="002664E4" w:rsidP="007348E3">
      <w:pPr>
        <w:pStyle w:val="a3"/>
        <w:numPr>
          <w:ilvl w:val="0"/>
          <w:numId w:val="13"/>
        </w:numPr>
        <w:tabs>
          <w:tab w:val="left" w:pos="284"/>
        </w:tabs>
        <w:ind w:left="-567" w:firstLine="567"/>
        <w:jc w:val="both"/>
        <w:rPr>
          <w:sz w:val="22"/>
          <w:szCs w:val="22"/>
          <w:lang w:val="en-US"/>
        </w:rPr>
      </w:pPr>
      <w:r w:rsidRPr="006E4D72">
        <w:rPr>
          <w:i/>
          <w:sz w:val="22"/>
          <w:szCs w:val="22"/>
          <w:lang w:val="en-US"/>
        </w:rPr>
        <w:t xml:space="preserve">The dividends of the Fund in </w:t>
      </w:r>
      <w:r>
        <w:rPr>
          <w:i/>
          <w:sz w:val="22"/>
          <w:szCs w:val="22"/>
          <w:lang w:val="en-US"/>
        </w:rPr>
        <w:t xml:space="preserve">the amount of KZT </w:t>
      </w:r>
      <w:r w:rsidR="007E6AC5">
        <w:rPr>
          <w:i/>
          <w:sz w:val="22"/>
          <w:szCs w:val="22"/>
          <w:lang w:val="en-US"/>
        </w:rPr>
        <w:t>168.2</w:t>
      </w:r>
      <w:r w:rsidRPr="006E4D72">
        <w:rPr>
          <w:i/>
          <w:sz w:val="22"/>
          <w:szCs w:val="22"/>
          <w:lang w:val="en-US"/>
        </w:rPr>
        <w:t xml:space="preserve"> </w:t>
      </w:r>
      <w:r w:rsidR="000A43AE">
        <w:rPr>
          <w:i/>
          <w:sz w:val="22"/>
          <w:szCs w:val="22"/>
          <w:lang w:val="en-US"/>
        </w:rPr>
        <w:t>billion</w:t>
      </w:r>
      <w:r w:rsidR="007E6AC5">
        <w:rPr>
          <w:i/>
          <w:sz w:val="22"/>
          <w:szCs w:val="22"/>
          <w:lang w:val="en-US"/>
        </w:rPr>
        <w:t>, including:</w:t>
      </w:r>
    </w:p>
    <w:p w:rsidR="002664E4" w:rsidRDefault="007E6AC5" w:rsidP="007348E3">
      <w:pPr>
        <w:pStyle w:val="a3"/>
        <w:numPr>
          <w:ilvl w:val="0"/>
          <w:numId w:val="33"/>
        </w:numPr>
        <w:tabs>
          <w:tab w:val="left" w:pos="284"/>
        </w:tabs>
        <w:ind w:left="-567" w:firstLine="567"/>
        <w:jc w:val="both"/>
        <w:rPr>
          <w:sz w:val="22"/>
          <w:szCs w:val="22"/>
          <w:lang w:val="en-US"/>
        </w:rPr>
      </w:pPr>
      <w:r w:rsidRPr="007E6AC5">
        <w:rPr>
          <w:sz w:val="22"/>
          <w:szCs w:val="22"/>
          <w:lang w:val="en-US"/>
        </w:rPr>
        <w:t>KZT 9.1 billion</w:t>
      </w:r>
      <w:r w:rsidR="002664E4" w:rsidRPr="007E6AC5">
        <w:rPr>
          <w:sz w:val="22"/>
          <w:szCs w:val="22"/>
          <w:lang w:val="en-US"/>
        </w:rPr>
        <w:t xml:space="preserve"> </w:t>
      </w:r>
      <w:r w:rsidR="002664E4" w:rsidRPr="006E4D72">
        <w:rPr>
          <w:sz w:val="22"/>
          <w:szCs w:val="22"/>
          <w:lang w:val="en-US"/>
        </w:rPr>
        <w:t>on th</w:t>
      </w:r>
      <w:r>
        <w:rPr>
          <w:sz w:val="22"/>
          <w:szCs w:val="22"/>
          <w:lang w:val="en-US"/>
        </w:rPr>
        <w:t>e results of operations for 2010</w:t>
      </w:r>
      <w:r w:rsidR="002664E4" w:rsidRPr="006E4D72">
        <w:rPr>
          <w:sz w:val="22"/>
          <w:szCs w:val="22"/>
          <w:lang w:val="en-US"/>
        </w:rPr>
        <w:t xml:space="preserve">, calculated in accordance with </w:t>
      </w:r>
      <w:r w:rsidR="002664E4">
        <w:rPr>
          <w:sz w:val="22"/>
          <w:szCs w:val="22"/>
          <w:lang w:val="en-US"/>
        </w:rPr>
        <w:t xml:space="preserve">the Decree of the </w:t>
      </w:r>
      <w:r w:rsidR="002664E4" w:rsidRPr="006E4D72">
        <w:rPr>
          <w:sz w:val="22"/>
          <w:szCs w:val="22"/>
          <w:lang w:val="en-US"/>
        </w:rPr>
        <w:t xml:space="preserve">Government </w:t>
      </w:r>
      <w:r w:rsidR="002664E4">
        <w:rPr>
          <w:sz w:val="22"/>
          <w:szCs w:val="22"/>
          <w:lang w:val="en-US"/>
        </w:rPr>
        <w:t xml:space="preserve"> of the Republic of Kazakhstan</w:t>
      </w:r>
      <w:r>
        <w:rPr>
          <w:sz w:val="22"/>
          <w:szCs w:val="22"/>
          <w:lang w:val="en-US"/>
        </w:rPr>
        <w:t xml:space="preserve"> </w:t>
      </w:r>
      <w:r w:rsidR="00A4597C">
        <w:rPr>
          <w:sz w:val="22"/>
          <w:szCs w:val="22"/>
          <w:lang w:val="en-US"/>
        </w:rPr>
        <w:t>#</w:t>
      </w:r>
      <w:r>
        <w:rPr>
          <w:sz w:val="22"/>
          <w:szCs w:val="22"/>
          <w:lang w:val="en-US"/>
        </w:rPr>
        <w:t xml:space="preserve"> 139</w:t>
      </w:r>
      <w:r w:rsidR="002664E4">
        <w:rPr>
          <w:sz w:val="22"/>
          <w:szCs w:val="22"/>
          <w:lang w:val="en-US"/>
        </w:rPr>
        <w:t xml:space="preserve"> dated </w:t>
      </w:r>
      <w:r>
        <w:rPr>
          <w:sz w:val="22"/>
          <w:szCs w:val="22"/>
          <w:lang w:val="en-US"/>
        </w:rPr>
        <w:t>January 19, 2011</w:t>
      </w:r>
      <w:r w:rsidR="002664E4" w:rsidRPr="006E4D72">
        <w:rPr>
          <w:sz w:val="22"/>
          <w:szCs w:val="22"/>
          <w:lang w:val="en-US"/>
        </w:rPr>
        <w:t xml:space="preserve">, which is actually </w:t>
      </w:r>
      <w:r w:rsidR="002664E4">
        <w:rPr>
          <w:sz w:val="22"/>
          <w:szCs w:val="22"/>
          <w:lang w:val="en-US"/>
        </w:rPr>
        <w:t>transferred to</w:t>
      </w:r>
      <w:r w:rsidR="002664E4" w:rsidRPr="006E4D72">
        <w:rPr>
          <w:sz w:val="22"/>
          <w:szCs w:val="22"/>
          <w:lang w:val="en-US"/>
        </w:rPr>
        <w:t xml:space="preserve"> the national budget </w:t>
      </w:r>
      <w:r w:rsidR="002664E4">
        <w:rPr>
          <w:sz w:val="22"/>
          <w:szCs w:val="22"/>
          <w:lang w:val="en-US"/>
        </w:rPr>
        <w:t xml:space="preserve">on </w:t>
      </w:r>
      <w:r>
        <w:rPr>
          <w:sz w:val="22"/>
          <w:szCs w:val="22"/>
          <w:lang w:val="en-US"/>
        </w:rPr>
        <w:t>December 13, 2011</w:t>
      </w:r>
      <w:r w:rsidR="002664E4" w:rsidRPr="006E4D72">
        <w:rPr>
          <w:sz w:val="22"/>
          <w:szCs w:val="22"/>
          <w:lang w:val="en-US"/>
        </w:rPr>
        <w:t xml:space="preserve"> under the decision of the Board of Directors </w:t>
      </w:r>
      <w:r w:rsidR="00A4597C">
        <w:rPr>
          <w:sz w:val="22"/>
          <w:szCs w:val="22"/>
          <w:lang w:val="en-US"/>
        </w:rPr>
        <w:t xml:space="preserve"># </w:t>
      </w:r>
      <w:r>
        <w:rPr>
          <w:sz w:val="22"/>
          <w:szCs w:val="22"/>
          <w:lang w:val="en-US"/>
        </w:rPr>
        <w:t>67</w:t>
      </w:r>
      <w:r w:rsidR="002664E4">
        <w:rPr>
          <w:sz w:val="22"/>
          <w:szCs w:val="22"/>
          <w:lang w:val="en-US"/>
        </w:rPr>
        <w:t xml:space="preserve"> dated</w:t>
      </w:r>
      <w:r w:rsidR="002664E4" w:rsidRPr="006E4D72">
        <w:rPr>
          <w:sz w:val="22"/>
          <w:szCs w:val="22"/>
          <w:lang w:val="en-US"/>
        </w:rPr>
        <w:t xml:space="preserve"> </w:t>
      </w:r>
      <w:r>
        <w:rPr>
          <w:sz w:val="22"/>
          <w:szCs w:val="22"/>
          <w:lang w:val="en-US"/>
        </w:rPr>
        <w:t>July 20, 2011</w:t>
      </w:r>
      <w:r w:rsidR="002664E4" w:rsidRPr="006E4D72">
        <w:rPr>
          <w:sz w:val="22"/>
          <w:szCs w:val="22"/>
          <w:lang w:val="en-US"/>
        </w:rPr>
        <w:t>;</w:t>
      </w:r>
    </w:p>
    <w:p w:rsidR="007E6AC5" w:rsidRPr="006E4D72" w:rsidRDefault="007E6AC5" w:rsidP="007348E3">
      <w:pPr>
        <w:pStyle w:val="a3"/>
        <w:numPr>
          <w:ilvl w:val="0"/>
          <w:numId w:val="33"/>
        </w:numPr>
        <w:tabs>
          <w:tab w:val="left" w:pos="284"/>
        </w:tabs>
        <w:ind w:left="-567" w:firstLine="567"/>
        <w:jc w:val="both"/>
        <w:rPr>
          <w:sz w:val="22"/>
          <w:szCs w:val="22"/>
          <w:lang w:val="en-US"/>
        </w:rPr>
      </w:pPr>
      <w:r>
        <w:rPr>
          <w:sz w:val="22"/>
          <w:szCs w:val="22"/>
          <w:lang w:val="en-US"/>
        </w:rPr>
        <w:t>KZT 159.</w:t>
      </w:r>
      <w:r w:rsidRPr="007E6AC5">
        <w:rPr>
          <w:sz w:val="22"/>
          <w:szCs w:val="22"/>
          <w:lang w:val="en-US"/>
        </w:rPr>
        <w:t xml:space="preserve">1 </w:t>
      </w:r>
      <w:r w:rsidR="00EA19A7" w:rsidRPr="007E6AC5">
        <w:rPr>
          <w:sz w:val="22"/>
          <w:szCs w:val="22"/>
          <w:lang w:val="en-US"/>
        </w:rPr>
        <w:t xml:space="preserve">billion </w:t>
      </w:r>
      <w:r w:rsidRPr="007E6AC5">
        <w:rPr>
          <w:sz w:val="22"/>
          <w:szCs w:val="22"/>
          <w:lang w:val="en-US"/>
        </w:rPr>
        <w:t xml:space="preserve">by the end of 2011 according to the </w:t>
      </w:r>
      <w:r>
        <w:rPr>
          <w:sz w:val="22"/>
          <w:szCs w:val="22"/>
          <w:lang w:val="en-US"/>
        </w:rPr>
        <w:t>Decree</w:t>
      </w:r>
      <w:r w:rsidRPr="007E6AC5">
        <w:rPr>
          <w:sz w:val="22"/>
          <w:szCs w:val="22"/>
          <w:lang w:val="en-US"/>
        </w:rPr>
        <w:t xml:space="preserve"> of the Government of the Republic of Kazakhstan </w:t>
      </w:r>
      <w:r w:rsidR="00A4597C">
        <w:rPr>
          <w:sz w:val="22"/>
          <w:szCs w:val="22"/>
          <w:lang w:val="en-US"/>
        </w:rPr>
        <w:t>#</w:t>
      </w:r>
      <w:r w:rsidRPr="007E6AC5">
        <w:rPr>
          <w:sz w:val="22"/>
          <w:szCs w:val="22"/>
          <w:lang w:val="en-US"/>
        </w:rPr>
        <w:t xml:space="preserve"> 850 dated June</w:t>
      </w:r>
      <w:r>
        <w:rPr>
          <w:sz w:val="22"/>
          <w:szCs w:val="22"/>
          <w:lang w:val="en-US"/>
        </w:rPr>
        <w:t xml:space="preserve"> 26,</w:t>
      </w:r>
      <w:r w:rsidRPr="007E6AC5">
        <w:rPr>
          <w:sz w:val="22"/>
          <w:szCs w:val="22"/>
          <w:lang w:val="en-US"/>
        </w:rPr>
        <w:t xml:space="preserve"> 2012, exceeding </w:t>
      </w:r>
      <w:r w:rsidR="00A4597C">
        <w:rPr>
          <w:sz w:val="22"/>
          <w:szCs w:val="22"/>
          <w:lang w:val="en-US"/>
        </w:rPr>
        <w:t xml:space="preserve">of </w:t>
      </w:r>
      <w:r w:rsidRPr="007E6AC5">
        <w:rPr>
          <w:sz w:val="22"/>
          <w:szCs w:val="22"/>
          <w:lang w:val="en-US"/>
        </w:rPr>
        <w:t>the planned amount (</w:t>
      </w:r>
      <w:r>
        <w:rPr>
          <w:sz w:val="22"/>
          <w:szCs w:val="22"/>
          <w:lang w:val="en-US"/>
        </w:rPr>
        <w:t xml:space="preserve">KZT </w:t>
      </w:r>
      <w:r w:rsidRPr="007E6AC5">
        <w:rPr>
          <w:sz w:val="22"/>
          <w:szCs w:val="22"/>
          <w:lang w:val="en-US"/>
        </w:rPr>
        <w:t xml:space="preserve">9.1 billion) was due to the payment of an additional dividend of </w:t>
      </w:r>
      <w:r>
        <w:rPr>
          <w:sz w:val="22"/>
          <w:szCs w:val="22"/>
          <w:lang w:val="en-US"/>
        </w:rPr>
        <w:t xml:space="preserve">KZT </w:t>
      </w:r>
      <w:r w:rsidRPr="007E6AC5">
        <w:rPr>
          <w:sz w:val="22"/>
          <w:szCs w:val="22"/>
          <w:lang w:val="en-US"/>
        </w:rPr>
        <w:t xml:space="preserve">150.1 </w:t>
      </w:r>
      <w:r w:rsidR="00EA19A7" w:rsidRPr="007E6AC5">
        <w:rPr>
          <w:sz w:val="22"/>
          <w:szCs w:val="22"/>
          <w:lang w:val="en-US"/>
        </w:rPr>
        <w:t>billion</w:t>
      </w:r>
      <w:r w:rsidR="00EA19A7">
        <w:rPr>
          <w:sz w:val="22"/>
          <w:szCs w:val="22"/>
          <w:lang w:val="en-US"/>
        </w:rPr>
        <w:t xml:space="preserve"> </w:t>
      </w:r>
      <w:r w:rsidRPr="007E6AC5">
        <w:rPr>
          <w:sz w:val="22"/>
          <w:szCs w:val="22"/>
          <w:lang w:val="en-US"/>
        </w:rPr>
        <w:t xml:space="preserve">in the acquisition of 100% interest in </w:t>
      </w:r>
      <w:r>
        <w:rPr>
          <w:sz w:val="22"/>
          <w:szCs w:val="22"/>
          <w:lang w:val="en-US"/>
        </w:rPr>
        <w:t>“Share</w:t>
      </w:r>
      <w:r w:rsidRPr="007E6AC5">
        <w:rPr>
          <w:sz w:val="22"/>
          <w:szCs w:val="22"/>
          <w:lang w:val="en-US"/>
        </w:rPr>
        <w:t xml:space="preserve"> </w:t>
      </w:r>
      <w:r>
        <w:rPr>
          <w:sz w:val="22"/>
          <w:szCs w:val="22"/>
          <w:lang w:val="en-US"/>
        </w:rPr>
        <w:t>M</w:t>
      </w:r>
      <w:r w:rsidRPr="007E6AC5">
        <w:rPr>
          <w:sz w:val="22"/>
          <w:szCs w:val="22"/>
          <w:lang w:val="en-US"/>
        </w:rPr>
        <w:t>anagement Company in the final production sharing agreement</w:t>
      </w:r>
      <w:r>
        <w:rPr>
          <w:sz w:val="22"/>
          <w:szCs w:val="22"/>
          <w:lang w:val="en-US"/>
        </w:rPr>
        <w:t>” LLP</w:t>
      </w:r>
      <w:r w:rsidRPr="007E6AC5">
        <w:rPr>
          <w:sz w:val="22"/>
          <w:szCs w:val="22"/>
          <w:lang w:val="en-US"/>
        </w:rPr>
        <w:t xml:space="preserve"> according to the </w:t>
      </w:r>
      <w:r w:rsidR="00EA19A7">
        <w:rPr>
          <w:sz w:val="22"/>
          <w:szCs w:val="22"/>
          <w:lang w:val="en-US"/>
        </w:rPr>
        <w:t>Decree</w:t>
      </w:r>
      <w:r w:rsidRPr="007E6AC5">
        <w:rPr>
          <w:sz w:val="22"/>
          <w:szCs w:val="22"/>
          <w:lang w:val="en-US"/>
        </w:rPr>
        <w:t xml:space="preserve"> of the Government of the Republic of Kazakhstan </w:t>
      </w:r>
      <w:r w:rsidR="00A4597C">
        <w:rPr>
          <w:sz w:val="22"/>
          <w:szCs w:val="22"/>
          <w:lang w:val="en-US"/>
        </w:rPr>
        <w:t>#</w:t>
      </w:r>
      <w:r w:rsidR="00EA19A7" w:rsidRPr="007E6AC5">
        <w:rPr>
          <w:sz w:val="22"/>
          <w:szCs w:val="22"/>
          <w:lang w:val="en-US"/>
        </w:rPr>
        <w:t xml:space="preserve"> 570</w:t>
      </w:r>
      <w:r w:rsidR="00EA19A7">
        <w:rPr>
          <w:sz w:val="22"/>
          <w:szCs w:val="22"/>
          <w:lang w:val="en-US"/>
        </w:rPr>
        <w:t xml:space="preserve"> dated</w:t>
      </w:r>
      <w:r w:rsidRPr="007E6AC5">
        <w:rPr>
          <w:sz w:val="22"/>
          <w:szCs w:val="22"/>
          <w:lang w:val="en-US"/>
        </w:rPr>
        <w:t xml:space="preserve"> May 3, 2012;</w:t>
      </w:r>
    </w:p>
    <w:p w:rsidR="00491B5B" w:rsidRPr="00491B5B" w:rsidRDefault="002664E4" w:rsidP="007348E3">
      <w:pPr>
        <w:pStyle w:val="a3"/>
        <w:numPr>
          <w:ilvl w:val="0"/>
          <w:numId w:val="13"/>
        </w:numPr>
        <w:tabs>
          <w:tab w:val="num" w:pos="-567"/>
          <w:tab w:val="left" w:pos="284"/>
        </w:tabs>
        <w:ind w:left="-567" w:firstLine="567"/>
        <w:jc w:val="both"/>
        <w:rPr>
          <w:rStyle w:val="FontStyle75"/>
          <w:color w:val="auto"/>
          <w:lang w:val="en-US"/>
        </w:rPr>
      </w:pPr>
      <w:r>
        <w:rPr>
          <w:i/>
          <w:sz w:val="22"/>
          <w:szCs w:val="22"/>
          <w:lang w:val="en-US"/>
        </w:rPr>
        <w:t xml:space="preserve">Other allocations to the Shareholder for a total amount of </w:t>
      </w:r>
      <w:r w:rsidR="00242246">
        <w:rPr>
          <w:i/>
          <w:sz w:val="22"/>
          <w:szCs w:val="22"/>
          <w:lang w:val="en-US"/>
        </w:rPr>
        <w:t xml:space="preserve">KZT </w:t>
      </w:r>
      <w:r w:rsidR="00EA19A7">
        <w:rPr>
          <w:i/>
          <w:sz w:val="22"/>
          <w:szCs w:val="22"/>
          <w:lang w:val="en-US"/>
        </w:rPr>
        <w:t>5</w:t>
      </w:r>
      <w:r w:rsidRPr="00394F5E">
        <w:rPr>
          <w:i/>
          <w:sz w:val="22"/>
          <w:szCs w:val="22"/>
          <w:lang w:val="en-US"/>
        </w:rPr>
        <w:t xml:space="preserve"> </w:t>
      </w:r>
      <w:r w:rsidR="000A43AE">
        <w:rPr>
          <w:i/>
          <w:sz w:val="22"/>
          <w:szCs w:val="22"/>
          <w:lang w:val="en-US"/>
        </w:rPr>
        <w:t>billion</w:t>
      </w:r>
      <w:r>
        <w:rPr>
          <w:i/>
          <w:sz w:val="22"/>
          <w:szCs w:val="22"/>
          <w:lang w:val="en-US"/>
        </w:rPr>
        <w:t>.</w:t>
      </w:r>
      <w:r w:rsidRPr="00394F5E">
        <w:rPr>
          <w:sz w:val="22"/>
          <w:szCs w:val="22"/>
          <w:lang w:val="en-US"/>
        </w:rPr>
        <w:t>:</w:t>
      </w:r>
      <w:r w:rsidR="00491B5B">
        <w:rPr>
          <w:sz w:val="22"/>
          <w:szCs w:val="22"/>
          <w:lang w:val="en-US"/>
        </w:rPr>
        <w:t xml:space="preserve"> </w:t>
      </w:r>
      <w:r w:rsidR="00491B5B" w:rsidRPr="00491B5B">
        <w:rPr>
          <w:rStyle w:val="FontStyle75"/>
          <w:lang w:val="en-US"/>
        </w:rPr>
        <w:t xml:space="preserve">by </w:t>
      </w:r>
      <w:r w:rsidR="00491B5B">
        <w:rPr>
          <w:rStyle w:val="FontStyle75"/>
          <w:lang w:val="en-US"/>
        </w:rPr>
        <w:t xml:space="preserve">Decree of </w:t>
      </w:r>
      <w:r w:rsidR="00491B5B" w:rsidRPr="00491B5B">
        <w:rPr>
          <w:rStyle w:val="FontStyle75"/>
          <w:lang w:val="en-US"/>
        </w:rPr>
        <w:t xml:space="preserve">the Government of the Republic of Kazakhstan for financing activities for the V Astana Economic Forum, according to the </w:t>
      </w:r>
      <w:r w:rsidR="00491B5B">
        <w:rPr>
          <w:rStyle w:val="FontStyle75"/>
          <w:lang w:val="en-US"/>
        </w:rPr>
        <w:t>Minutes</w:t>
      </w:r>
      <w:r w:rsidR="00491B5B" w:rsidRPr="00491B5B">
        <w:rPr>
          <w:rStyle w:val="FontStyle75"/>
          <w:lang w:val="en-US"/>
        </w:rPr>
        <w:t xml:space="preserve"> of the meeting with the Prime Minister of the Republic of Kazakhstan </w:t>
      </w:r>
      <w:r w:rsidR="00491B5B">
        <w:rPr>
          <w:rStyle w:val="FontStyle75"/>
          <w:lang w:val="en-US"/>
        </w:rPr>
        <w:t xml:space="preserve"># </w:t>
      </w:r>
      <w:r w:rsidR="00491B5B" w:rsidRPr="00491B5B">
        <w:rPr>
          <w:rStyle w:val="FontStyle75"/>
          <w:lang w:val="en-US"/>
        </w:rPr>
        <w:t xml:space="preserve">20-5/I-76 </w:t>
      </w:r>
      <w:r w:rsidR="00491B5B">
        <w:rPr>
          <w:rStyle w:val="FontStyle75"/>
          <w:lang w:val="en-US"/>
        </w:rPr>
        <w:t>dated</w:t>
      </w:r>
      <w:r w:rsidR="00491B5B" w:rsidRPr="00491B5B">
        <w:rPr>
          <w:rStyle w:val="FontStyle75"/>
          <w:lang w:val="en-US"/>
        </w:rPr>
        <w:t xml:space="preserve"> 28 February and </w:t>
      </w:r>
      <w:r w:rsidR="00491B5B">
        <w:rPr>
          <w:rStyle w:val="FontStyle75"/>
          <w:lang w:val="en-US"/>
        </w:rPr>
        <w:t>decision of</w:t>
      </w:r>
      <w:r w:rsidR="00491B5B" w:rsidRPr="00491B5B">
        <w:rPr>
          <w:rStyle w:val="FontStyle75"/>
          <w:lang w:val="en-US"/>
        </w:rPr>
        <w:t xml:space="preserve"> the Prime Minister </w:t>
      </w:r>
      <w:r w:rsidR="00491B5B">
        <w:rPr>
          <w:rStyle w:val="FontStyle75"/>
          <w:lang w:val="en-US"/>
        </w:rPr>
        <w:t xml:space="preserve"># </w:t>
      </w:r>
      <w:r w:rsidR="00491B5B" w:rsidRPr="00491B5B">
        <w:rPr>
          <w:rStyle w:val="FontStyle75"/>
          <w:lang w:val="en-US"/>
        </w:rPr>
        <w:t xml:space="preserve">20-14/I-176 </w:t>
      </w:r>
      <w:r w:rsidR="00491B5B">
        <w:rPr>
          <w:rStyle w:val="FontStyle75"/>
          <w:lang w:val="en-US"/>
        </w:rPr>
        <w:t>dated</w:t>
      </w:r>
      <w:r w:rsidR="00491B5B" w:rsidRPr="00491B5B">
        <w:rPr>
          <w:rStyle w:val="FontStyle75"/>
          <w:lang w:val="en-US"/>
        </w:rPr>
        <w:t xml:space="preserve"> 20 March 2012</w:t>
      </w:r>
      <w:r w:rsidR="00491B5B">
        <w:rPr>
          <w:rStyle w:val="FontStyle75"/>
          <w:lang w:val="en-US"/>
        </w:rPr>
        <w:t>;</w:t>
      </w:r>
      <w:r w:rsidR="00491B5B" w:rsidRPr="00491B5B">
        <w:rPr>
          <w:rStyle w:val="FontStyle75"/>
          <w:lang w:val="en-US"/>
        </w:rPr>
        <w:t xml:space="preserve"> </w:t>
      </w:r>
      <w:r w:rsidR="00491B5B">
        <w:rPr>
          <w:rStyle w:val="FontStyle75"/>
          <w:lang w:val="en-US"/>
        </w:rPr>
        <w:t>for celebration of</w:t>
      </w:r>
      <w:r w:rsidR="00491B5B" w:rsidRPr="00491B5B">
        <w:rPr>
          <w:rStyle w:val="FontStyle75"/>
          <w:lang w:val="en-US"/>
        </w:rPr>
        <w:t xml:space="preserve"> the Day of Capital according to Minutes of the meeting of the Government of the Republic of Kazakhstan </w:t>
      </w:r>
      <w:r w:rsidR="00A4597C">
        <w:rPr>
          <w:rStyle w:val="FontStyle75"/>
          <w:lang w:val="en-US"/>
        </w:rPr>
        <w:t>#</w:t>
      </w:r>
      <w:r w:rsidR="00491B5B" w:rsidRPr="00491B5B">
        <w:rPr>
          <w:rStyle w:val="FontStyle75"/>
          <w:lang w:val="en-US"/>
        </w:rPr>
        <w:t xml:space="preserve"> 18 dated May 8, 2012 and the letter of the Deputy </w:t>
      </w:r>
      <w:proofErr w:type="spellStart"/>
      <w:r w:rsidR="00491B5B" w:rsidRPr="00491B5B">
        <w:rPr>
          <w:rStyle w:val="FontStyle75"/>
          <w:lang w:val="en-US"/>
        </w:rPr>
        <w:t>Akim</w:t>
      </w:r>
      <w:proofErr w:type="spellEnd"/>
      <w:r w:rsidR="00491B5B" w:rsidRPr="00491B5B">
        <w:rPr>
          <w:rStyle w:val="FontStyle75"/>
          <w:lang w:val="en-US"/>
        </w:rPr>
        <w:t xml:space="preserve"> of Astana </w:t>
      </w:r>
      <w:r w:rsidR="00A4597C">
        <w:rPr>
          <w:rStyle w:val="FontStyle75"/>
          <w:lang w:val="en-US"/>
        </w:rPr>
        <w:t>#</w:t>
      </w:r>
      <w:r w:rsidR="00491B5B" w:rsidRPr="00491B5B">
        <w:rPr>
          <w:rStyle w:val="FontStyle75"/>
          <w:lang w:val="en-US"/>
        </w:rPr>
        <w:t xml:space="preserve"> 10-29/867 </w:t>
      </w:r>
      <w:r w:rsidR="00491B5B">
        <w:rPr>
          <w:rStyle w:val="FontStyle75"/>
          <w:lang w:val="en-US"/>
        </w:rPr>
        <w:t>dated June 4, 2012;</w:t>
      </w:r>
      <w:r w:rsidR="00491B5B" w:rsidRPr="00491B5B">
        <w:rPr>
          <w:rStyle w:val="FontStyle75"/>
          <w:lang w:val="en-US"/>
        </w:rPr>
        <w:t xml:space="preserve"> </w:t>
      </w:r>
      <w:r w:rsidR="00491B5B">
        <w:rPr>
          <w:rStyle w:val="FontStyle75"/>
          <w:lang w:val="en-US"/>
        </w:rPr>
        <w:t>for financing the TV project “</w:t>
      </w:r>
      <w:r w:rsidR="00491B5B" w:rsidRPr="00491B5B">
        <w:rPr>
          <w:rStyle w:val="FontStyle75"/>
          <w:lang w:val="en-US"/>
        </w:rPr>
        <w:t xml:space="preserve">Eye on Kazakhstan </w:t>
      </w:r>
      <w:r w:rsidR="00491B5B">
        <w:rPr>
          <w:rStyle w:val="FontStyle75"/>
          <w:lang w:val="en-US"/>
        </w:rPr>
        <w:t>2012”</w:t>
      </w:r>
      <w:r w:rsidR="00491B5B" w:rsidRPr="00491B5B">
        <w:rPr>
          <w:rStyle w:val="FontStyle75"/>
          <w:lang w:val="en-US"/>
        </w:rPr>
        <w:t xml:space="preserve"> according to Minutes of the meeting of the Government of the Republic of Kazakhstan </w:t>
      </w:r>
      <w:r w:rsidR="00A4597C">
        <w:rPr>
          <w:rStyle w:val="FontStyle75"/>
          <w:lang w:val="en-US"/>
        </w:rPr>
        <w:t>#</w:t>
      </w:r>
      <w:r w:rsidR="00491B5B" w:rsidRPr="00491B5B">
        <w:rPr>
          <w:rStyle w:val="FontStyle75"/>
          <w:lang w:val="en-US"/>
        </w:rPr>
        <w:t xml:space="preserve"> 18 dated May 8, 2012 and the letter of the Ministry of Foreign Affairs of the Republic of Kazakhstan </w:t>
      </w:r>
      <w:r w:rsidR="00A4597C">
        <w:rPr>
          <w:rStyle w:val="FontStyle75"/>
          <w:lang w:val="en-US"/>
        </w:rPr>
        <w:t>#</w:t>
      </w:r>
      <w:r w:rsidR="00491B5B" w:rsidRPr="00491B5B">
        <w:rPr>
          <w:rStyle w:val="FontStyle75"/>
          <w:lang w:val="en-US"/>
        </w:rPr>
        <w:t xml:space="preserve"> 20-4/982 </w:t>
      </w:r>
      <w:r w:rsidR="00491B5B">
        <w:rPr>
          <w:rStyle w:val="FontStyle75"/>
          <w:lang w:val="en-US"/>
        </w:rPr>
        <w:t>dated June 5, 2012;</w:t>
      </w:r>
      <w:r w:rsidR="00491B5B" w:rsidRPr="00491B5B">
        <w:rPr>
          <w:rStyle w:val="FontStyle75"/>
          <w:lang w:val="en-US"/>
        </w:rPr>
        <w:t xml:space="preserve"> </w:t>
      </w:r>
      <w:r w:rsidR="00491B5B">
        <w:rPr>
          <w:rStyle w:val="FontStyle75"/>
          <w:lang w:val="en-US"/>
        </w:rPr>
        <w:t xml:space="preserve">for financing </w:t>
      </w:r>
      <w:r w:rsidR="00491B5B" w:rsidRPr="00491B5B">
        <w:rPr>
          <w:rStyle w:val="FontStyle75"/>
          <w:lang w:val="en-US"/>
        </w:rPr>
        <w:t>the measures necessary for quality training of the national team</w:t>
      </w:r>
      <w:r w:rsidR="00491B5B">
        <w:rPr>
          <w:rStyle w:val="FontStyle75"/>
          <w:lang w:val="en-US"/>
        </w:rPr>
        <w:t xml:space="preserve">s of the Republic of Kazakhstan </w:t>
      </w:r>
      <w:r w:rsidR="00491B5B" w:rsidRPr="00491B5B">
        <w:rPr>
          <w:rStyle w:val="FontStyle75"/>
          <w:lang w:val="en-US"/>
        </w:rPr>
        <w:t>to the XXX Summer Olympic games</w:t>
      </w:r>
      <w:r w:rsidR="00491B5B">
        <w:rPr>
          <w:rStyle w:val="FontStyle75"/>
          <w:lang w:val="en-US"/>
        </w:rPr>
        <w:t xml:space="preserve"> and </w:t>
      </w:r>
      <w:r w:rsidR="00491B5B" w:rsidRPr="00491B5B">
        <w:rPr>
          <w:rStyle w:val="FontStyle75"/>
          <w:lang w:val="en-US"/>
        </w:rPr>
        <w:t xml:space="preserve">XIV Summer Paralympic Games 2012 in London, according to the Minutes of the meeting of the Government of the Republic </w:t>
      </w:r>
      <w:r w:rsidR="00491B5B" w:rsidRPr="00491B5B">
        <w:rPr>
          <w:rStyle w:val="FontStyle75"/>
          <w:lang w:val="en-US"/>
        </w:rPr>
        <w:lastRenderedPageBreak/>
        <w:t xml:space="preserve">of Kazakhstan </w:t>
      </w:r>
      <w:r w:rsidR="00A4597C">
        <w:rPr>
          <w:rStyle w:val="FontStyle75"/>
          <w:lang w:val="en-US"/>
        </w:rPr>
        <w:t>#</w:t>
      </w:r>
      <w:r w:rsidR="00491B5B" w:rsidRPr="00491B5B">
        <w:rPr>
          <w:rStyle w:val="FontStyle75"/>
          <w:lang w:val="en-US"/>
        </w:rPr>
        <w:t xml:space="preserve"> 18 dated May 8, 2012 and the letter of the Agency of the Republic of Kazakhstan of Sports </w:t>
      </w:r>
      <w:r w:rsidR="00491B5B">
        <w:rPr>
          <w:rStyle w:val="FontStyle75"/>
          <w:lang w:val="en-US"/>
        </w:rPr>
        <w:t>#</w:t>
      </w:r>
      <w:r w:rsidR="00491B5B" w:rsidRPr="00491B5B">
        <w:rPr>
          <w:rStyle w:val="FontStyle75"/>
          <w:lang w:val="en-US"/>
        </w:rPr>
        <w:t xml:space="preserve"> 09-03/792-I </w:t>
      </w:r>
      <w:r w:rsidR="00491B5B">
        <w:rPr>
          <w:rStyle w:val="FontStyle75"/>
          <w:lang w:val="en-US"/>
        </w:rPr>
        <w:t>dated</w:t>
      </w:r>
      <w:r w:rsidR="00491B5B" w:rsidRPr="00491B5B">
        <w:rPr>
          <w:rStyle w:val="FontStyle75"/>
          <w:lang w:val="en-US"/>
        </w:rPr>
        <w:t xml:space="preserve"> 5 June 2012.</w:t>
      </w:r>
    </w:p>
    <w:p w:rsidR="002664E4" w:rsidRPr="005C5B08" w:rsidRDefault="002664E4" w:rsidP="002664E4">
      <w:pPr>
        <w:pStyle w:val="Style12"/>
        <w:spacing w:line="274" w:lineRule="exact"/>
        <w:ind w:left="-709" w:firstLine="709"/>
        <w:rPr>
          <w:rStyle w:val="FontStyle75"/>
          <w:lang w:val="en-US"/>
        </w:rPr>
      </w:pPr>
      <w:r>
        <w:rPr>
          <w:rStyle w:val="FontStyle75"/>
          <w:lang w:val="en-US"/>
        </w:rPr>
        <w:t xml:space="preserve">The </w:t>
      </w:r>
      <w:r w:rsidRPr="005C5B08">
        <w:rPr>
          <w:rStyle w:val="FontStyle75"/>
          <w:lang w:val="en-US"/>
        </w:rPr>
        <w:t xml:space="preserve">Group </w:t>
      </w:r>
      <w:r>
        <w:rPr>
          <w:rStyle w:val="FontStyle75"/>
          <w:lang w:val="en-US"/>
        </w:rPr>
        <w:t>of the F</w:t>
      </w:r>
      <w:r w:rsidRPr="005C5B08">
        <w:rPr>
          <w:rStyle w:val="FontStyle75"/>
          <w:lang w:val="en-US"/>
        </w:rPr>
        <w:t>und is the driving force of investment a</w:t>
      </w:r>
      <w:r>
        <w:rPr>
          <w:rStyle w:val="FontStyle75"/>
          <w:lang w:val="en-US"/>
        </w:rPr>
        <w:t xml:space="preserve">ctivity in the country. </w:t>
      </w:r>
      <w:proofErr w:type="gramStart"/>
      <w:r>
        <w:rPr>
          <w:rStyle w:val="FontStyle75"/>
          <w:lang w:val="en-US"/>
        </w:rPr>
        <w:t xml:space="preserve">Having </w:t>
      </w:r>
      <w:r w:rsidRPr="005C5B08">
        <w:rPr>
          <w:rStyle w:val="FontStyle75"/>
          <w:lang w:val="en-US"/>
        </w:rPr>
        <w:t>strong position</w:t>
      </w:r>
      <w:r>
        <w:rPr>
          <w:rStyle w:val="FontStyle75"/>
          <w:lang w:val="en-US"/>
        </w:rPr>
        <w:t>s</w:t>
      </w:r>
      <w:r w:rsidRPr="005C5B08">
        <w:rPr>
          <w:rStyle w:val="FontStyle75"/>
          <w:lang w:val="en-US"/>
        </w:rPr>
        <w:t xml:space="preserve"> in several key sectors, the Fund </w:t>
      </w:r>
      <w:r>
        <w:rPr>
          <w:rStyle w:val="FontStyle75"/>
          <w:lang w:val="en-US"/>
        </w:rPr>
        <w:t>raises</w:t>
      </w:r>
      <w:r w:rsidRPr="005C5B08">
        <w:rPr>
          <w:rStyle w:val="FontStyle75"/>
          <w:lang w:val="en-US"/>
        </w:rPr>
        <w:t xml:space="preserve"> its own and borrowed funds, as well as direct investments of foreign investors for projects</w:t>
      </w:r>
      <w:r>
        <w:rPr>
          <w:rStyle w:val="FontStyle75"/>
          <w:lang w:val="en-US"/>
        </w:rPr>
        <w:t>’ implementation</w:t>
      </w:r>
      <w:r w:rsidRPr="005C5B08">
        <w:rPr>
          <w:rStyle w:val="FontStyle75"/>
          <w:lang w:val="en-US"/>
        </w:rPr>
        <w:t>.</w:t>
      </w:r>
      <w:proofErr w:type="gramEnd"/>
      <w:r w:rsidRPr="005C5B08">
        <w:rPr>
          <w:rStyle w:val="FontStyle75"/>
          <w:lang w:val="en-US"/>
        </w:rPr>
        <w:t xml:space="preserve"> </w:t>
      </w:r>
      <w:r>
        <w:rPr>
          <w:rStyle w:val="FontStyle75"/>
          <w:lang w:val="en-US"/>
        </w:rPr>
        <w:t>As of</w:t>
      </w:r>
      <w:r w:rsidR="00242246">
        <w:rPr>
          <w:rStyle w:val="FontStyle75"/>
          <w:lang w:val="en-US"/>
        </w:rPr>
        <w:t xml:space="preserve"> the beginning of 2012 the Fund’</w:t>
      </w:r>
      <w:r w:rsidRPr="005C5B08">
        <w:rPr>
          <w:rStyle w:val="FontStyle75"/>
          <w:lang w:val="en-US"/>
        </w:rPr>
        <w:t xml:space="preserve">s investment program </w:t>
      </w:r>
      <w:r>
        <w:rPr>
          <w:rStyle w:val="FontStyle75"/>
          <w:lang w:val="en-US"/>
        </w:rPr>
        <w:t>carried</w:t>
      </w:r>
      <w:r w:rsidRPr="005C5B08">
        <w:rPr>
          <w:rStyle w:val="FontStyle75"/>
          <w:lang w:val="en-US"/>
        </w:rPr>
        <w:t xml:space="preserve"> out through subsidiaries, comprises 220 major investment projects being implemented or planned for implementation, </w:t>
      </w:r>
      <w:r>
        <w:rPr>
          <w:rStyle w:val="FontStyle75"/>
          <w:lang w:val="en-US"/>
        </w:rPr>
        <w:t xml:space="preserve">totaling KZT </w:t>
      </w:r>
      <w:r w:rsidRPr="005C5B08">
        <w:rPr>
          <w:rStyle w:val="FontStyle75"/>
          <w:lang w:val="en-US"/>
        </w:rPr>
        <w:t>16.5 trillion.</w:t>
      </w:r>
    </w:p>
    <w:p w:rsidR="002664E4" w:rsidRDefault="002664E4" w:rsidP="002664E4">
      <w:pPr>
        <w:pStyle w:val="Style12"/>
        <w:widowControl/>
        <w:spacing w:line="274" w:lineRule="exact"/>
        <w:ind w:left="-709" w:firstLine="709"/>
        <w:rPr>
          <w:rStyle w:val="FontStyle75"/>
          <w:lang w:val="en-US"/>
        </w:rPr>
      </w:pPr>
      <w:r w:rsidRPr="005C5B08">
        <w:rPr>
          <w:rStyle w:val="FontStyle75"/>
          <w:lang w:val="en-US"/>
        </w:rPr>
        <w:t xml:space="preserve">According to the </w:t>
      </w:r>
      <w:r>
        <w:rPr>
          <w:rStyle w:val="FontStyle75"/>
          <w:lang w:val="en-US"/>
        </w:rPr>
        <w:t xml:space="preserve">data of </w:t>
      </w:r>
      <w:r w:rsidRPr="005C5B08">
        <w:rPr>
          <w:rStyle w:val="FontStyle75"/>
          <w:lang w:val="en-US"/>
        </w:rPr>
        <w:t>master development plan</w:t>
      </w:r>
      <w:r>
        <w:rPr>
          <w:rStyle w:val="FontStyle75"/>
          <w:lang w:val="en-US"/>
        </w:rPr>
        <w:t>s</w:t>
      </w:r>
      <w:r w:rsidRPr="005C5B08">
        <w:rPr>
          <w:rStyle w:val="FontStyle75"/>
          <w:lang w:val="en-US"/>
        </w:rPr>
        <w:t xml:space="preserve"> of the Fund until 2015, </w:t>
      </w:r>
      <w:r>
        <w:rPr>
          <w:rStyle w:val="FontStyle75"/>
          <w:lang w:val="en-US"/>
        </w:rPr>
        <w:t xml:space="preserve">the </w:t>
      </w:r>
      <w:r w:rsidRPr="005C5B08">
        <w:rPr>
          <w:rStyle w:val="FontStyle75"/>
          <w:lang w:val="en-US"/>
        </w:rPr>
        <w:t xml:space="preserve">following </w:t>
      </w:r>
      <w:r>
        <w:rPr>
          <w:rStyle w:val="FontStyle75"/>
          <w:lang w:val="en-US"/>
        </w:rPr>
        <w:t>distribution</w:t>
      </w:r>
      <w:r w:rsidRPr="005C5B08">
        <w:rPr>
          <w:rStyle w:val="FontStyle75"/>
          <w:lang w:val="en-US"/>
        </w:rPr>
        <w:t xml:space="preserve"> of planned investments in accordance with the current classification of the projects</w:t>
      </w:r>
      <w:r>
        <w:rPr>
          <w:rStyle w:val="FontStyle75"/>
          <w:lang w:val="en-US"/>
        </w:rPr>
        <w:t xml:space="preserve"> is given below</w:t>
      </w:r>
      <w:r w:rsidRPr="005C5B08">
        <w:rPr>
          <w:rStyle w:val="FontStyle75"/>
          <w:lang w:val="en-US"/>
        </w:rPr>
        <w:t>.</w:t>
      </w:r>
    </w:p>
    <w:p w:rsidR="002664E4" w:rsidRPr="005C5B08" w:rsidRDefault="002664E4" w:rsidP="002664E4">
      <w:pPr>
        <w:pStyle w:val="Style12"/>
        <w:widowControl/>
        <w:spacing w:line="274" w:lineRule="exact"/>
        <w:ind w:left="-709" w:firstLine="709"/>
        <w:rPr>
          <w:sz w:val="2"/>
          <w:szCs w:val="2"/>
          <w:lang w:val="en-US"/>
        </w:rPr>
      </w:pPr>
    </w:p>
    <w:tbl>
      <w:tblPr>
        <w:tblW w:w="0" w:type="auto"/>
        <w:tblInd w:w="-684" w:type="dxa"/>
        <w:tblLayout w:type="fixed"/>
        <w:tblCellMar>
          <w:left w:w="40" w:type="dxa"/>
          <w:right w:w="40" w:type="dxa"/>
        </w:tblCellMar>
        <w:tblLook w:val="0000" w:firstRow="0" w:lastRow="0" w:firstColumn="0" w:lastColumn="0" w:noHBand="0" w:noVBand="0"/>
      </w:tblPr>
      <w:tblGrid>
        <w:gridCol w:w="3685"/>
        <w:gridCol w:w="1134"/>
        <w:gridCol w:w="1135"/>
        <w:gridCol w:w="1275"/>
        <w:gridCol w:w="992"/>
      </w:tblGrid>
      <w:tr w:rsidR="002664E4" w:rsidRPr="009B4E26" w:rsidTr="00627857">
        <w:trPr>
          <w:trHeight w:val="295"/>
        </w:trPr>
        <w:tc>
          <w:tcPr>
            <w:tcW w:w="368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firstLine="0"/>
              <w:jc w:val="center"/>
              <w:rPr>
                <w:rStyle w:val="FontStyle67"/>
                <w:lang w:val="en-US"/>
              </w:rPr>
            </w:pPr>
            <w:r w:rsidRPr="009B4E26">
              <w:rPr>
                <w:rStyle w:val="FontStyle67"/>
                <w:lang w:val="en-US"/>
              </w:rPr>
              <w:t>Type of the project</w:t>
            </w:r>
          </w:p>
        </w:tc>
        <w:tc>
          <w:tcPr>
            <w:tcW w:w="1134"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firstLine="0"/>
              <w:jc w:val="center"/>
              <w:rPr>
                <w:rStyle w:val="FontStyle67"/>
                <w:lang w:val="en-US"/>
              </w:rPr>
            </w:pPr>
            <w:r w:rsidRPr="009B4E26">
              <w:rPr>
                <w:rStyle w:val="FontStyle67"/>
                <w:lang w:val="en-US"/>
              </w:rPr>
              <w:t xml:space="preserve">Number </w:t>
            </w:r>
          </w:p>
        </w:tc>
        <w:tc>
          <w:tcPr>
            <w:tcW w:w="113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firstLine="0"/>
              <w:jc w:val="center"/>
              <w:rPr>
                <w:rStyle w:val="FontStyle67"/>
              </w:rPr>
            </w:pPr>
            <w:r w:rsidRPr="009B4E26">
              <w:rPr>
                <w:rStyle w:val="FontStyle67"/>
              </w:rPr>
              <w:t>%</w:t>
            </w:r>
          </w:p>
        </w:tc>
        <w:tc>
          <w:tcPr>
            <w:tcW w:w="127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ind w:firstLine="0"/>
              <w:jc w:val="center"/>
              <w:rPr>
                <w:rStyle w:val="FontStyle67"/>
                <w:lang w:val="en-US"/>
              </w:rPr>
            </w:pPr>
            <w:r w:rsidRPr="009B4E26">
              <w:rPr>
                <w:rStyle w:val="FontStyle67"/>
                <w:lang w:val="en-US"/>
              </w:rPr>
              <w:t>Amount</w:t>
            </w:r>
            <w:r w:rsidRPr="009B4E26">
              <w:rPr>
                <w:rStyle w:val="FontStyle67"/>
              </w:rPr>
              <w:t xml:space="preserve">, </w:t>
            </w:r>
            <w:r w:rsidRPr="009B4E26">
              <w:rPr>
                <w:rStyle w:val="FontStyle67"/>
                <w:lang w:val="en-US"/>
              </w:rPr>
              <w:t>KZT trillion</w:t>
            </w:r>
          </w:p>
        </w:tc>
        <w:tc>
          <w:tcPr>
            <w:tcW w:w="992"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firstLine="0"/>
              <w:jc w:val="center"/>
              <w:rPr>
                <w:rStyle w:val="FontStyle67"/>
              </w:rPr>
            </w:pPr>
            <w:r w:rsidRPr="009B4E26">
              <w:rPr>
                <w:rStyle w:val="FontStyle67"/>
              </w:rPr>
              <w:t>%</w:t>
            </w:r>
          </w:p>
        </w:tc>
      </w:tr>
      <w:tr w:rsidR="002664E4" w:rsidRPr="009B4E26" w:rsidTr="00627857">
        <w:tc>
          <w:tcPr>
            <w:tcW w:w="3685" w:type="dxa"/>
            <w:tcBorders>
              <w:top w:val="single" w:sz="6" w:space="0" w:color="auto"/>
              <w:left w:val="single" w:sz="6" w:space="0" w:color="auto"/>
              <w:bottom w:val="single" w:sz="6" w:space="0" w:color="auto"/>
              <w:right w:val="single" w:sz="6" w:space="0" w:color="auto"/>
            </w:tcBorders>
          </w:tcPr>
          <w:p w:rsidR="002664E4" w:rsidRPr="009B4E26" w:rsidRDefault="002664E4" w:rsidP="00770BC8">
            <w:pPr>
              <w:pStyle w:val="Style32"/>
              <w:widowControl/>
              <w:spacing w:line="240" w:lineRule="auto"/>
              <w:jc w:val="left"/>
              <w:rPr>
                <w:rStyle w:val="FontStyle73"/>
                <w:lang w:val="en-US"/>
              </w:rPr>
            </w:pPr>
            <w:r w:rsidRPr="009B4E26">
              <w:rPr>
                <w:rStyle w:val="FontStyle73"/>
                <w:lang w:val="en-US"/>
              </w:rPr>
              <w:t xml:space="preserve">Strategic </w:t>
            </w:r>
          </w:p>
        </w:tc>
        <w:tc>
          <w:tcPr>
            <w:tcW w:w="1134"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ind w:left="-40"/>
              <w:jc w:val="center"/>
              <w:rPr>
                <w:rStyle w:val="FontStyle73"/>
              </w:rPr>
            </w:pPr>
            <w:r w:rsidRPr="009B4E26">
              <w:rPr>
                <w:rStyle w:val="FontStyle73"/>
              </w:rPr>
              <w:t>107</w:t>
            </w:r>
          </w:p>
        </w:tc>
        <w:tc>
          <w:tcPr>
            <w:tcW w:w="113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jc w:val="center"/>
              <w:rPr>
                <w:rStyle w:val="FontStyle73"/>
              </w:rPr>
            </w:pPr>
            <w:r w:rsidRPr="009B4E26">
              <w:rPr>
                <w:rStyle w:val="FontStyle73"/>
              </w:rPr>
              <w:t>49</w:t>
            </w:r>
          </w:p>
        </w:tc>
        <w:tc>
          <w:tcPr>
            <w:tcW w:w="127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1195"/>
              </w:tabs>
              <w:spacing w:line="240" w:lineRule="auto"/>
              <w:ind w:right="-40"/>
              <w:jc w:val="center"/>
              <w:rPr>
                <w:rStyle w:val="FontStyle73"/>
              </w:rPr>
            </w:pPr>
            <w:r w:rsidRPr="009B4E26">
              <w:rPr>
                <w:rStyle w:val="FontStyle73"/>
              </w:rPr>
              <w:t>5,1</w:t>
            </w:r>
          </w:p>
        </w:tc>
        <w:tc>
          <w:tcPr>
            <w:tcW w:w="992"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912"/>
                <w:tab w:val="left" w:pos="952"/>
              </w:tabs>
              <w:spacing w:line="240" w:lineRule="auto"/>
              <w:jc w:val="center"/>
              <w:rPr>
                <w:rStyle w:val="FontStyle73"/>
              </w:rPr>
            </w:pPr>
            <w:r w:rsidRPr="009B4E26">
              <w:rPr>
                <w:rStyle w:val="FontStyle73"/>
              </w:rPr>
              <w:t>31</w:t>
            </w:r>
          </w:p>
        </w:tc>
      </w:tr>
      <w:tr w:rsidR="002664E4" w:rsidRPr="009B4E26" w:rsidTr="00627857">
        <w:tc>
          <w:tcPr>
            <w:tcW w:w="3685" w:type="dxa"/>
            <w:tcBorders>
              <w:top w:val="single" w:sz="6" w:space="0" w:color="auto"/>
              <w:left w:val="single" w:sz="6" w:space="0" w:color="auto"/>
              <w:bottom w:val="single" w:sz="6" w:space="0" w:color="auto"/>
              <w:right w:val="single" w:sz="6" w:space="0" w:color="auto"/>
            </w:tcBorders>
          </w:tcPr>
          <w:p w:rsidR="002664E4" w:rsidRPr="009B4E26" w:rsidRDefault="002664E4" w:rsidP="00770BC8">
            <w:pPr>
              <w:pStyle w:val="Style32"/>
              <w:widowControl/>
              <w:spacing w:line="240" w:lineRule="auto"/>
              <w:jc w:val="left"/>
              <w:rPr>
                <w:rStyle w:val="FontStyle73"/>
                <w:lang w:val="en-US"/>
              </w:rPr>
            </w:pPr>
            <w:r w:rsidRPr="009B4E26">
              <w:rPr>
                <w:rStyle w:val="FontStyle73"/>
                <w:lang w:val="en-US"/>
              </w:rPr>
              <w:t>Expansion</w:t>
            </w:r>
            <w:r w:rsidRPr="009B4E26">
              <w:rPr>
                <w:rStyle w:val="FontStyle73"/>
              </w:rPr>
              <w:t xml:space="preserve">, </w:t>
            </w:r>
            <w:r w:rsidRPr="009B4E26">
              <w:rPr>
                <w:rStyle w:val="FontStyle73"/>
                <w:lang w:val="en-US"/>
              </w:rPr>
              <w:t>modernization and development</w:t>
            </w:r>
          </w:p>
        </w:tc>
        <w:tc>
          <w:tcPr>
            <w:tcW w:w="1134"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ind w:left="-40"/>
              <w:jc w:val="center"/>
              <w:rPr>
                <w:rStyle w:val="FontStyle73"/>
              </w:rPr>
            </w:pPr>
            <w:r w:rsidRPr="009B4E26">
              <w:rPr>
                <w:rStyle w:val="FontStyle73"/>
              </w:rPr>
              <w:t>82</w:t>
            </w:r>
          </w:p>
        </w:tc>
        <w:tc>
          <w:tcPr>
            <w:tcW w:w="113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jc w:val="center"/>
              <w:rPr>
                <w:rStyle w:val="FontStyle73"/>
              </w:rPr>
            </w:pPr>
            <w:r w:rsidRPr="009B4E26">
              <w:rPr>
                <w:rStyle w:val="FontStyle73"/>
              </w:rPr>
              <w:t>37</w:t>
            </w:r>
          </w:p>
        </w:tc>
        <w:tc>
          <w:tcPr>
            <w:tcW w:w="127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1195"/>
              </w:tabs>
              <w:spacing w:line="240" w:lineRule="auto"/>
              <w:ind w:right="-40"/>
              <w:jc w:val="center"/>
              <w:rPr>
                <w:rStyle w:val="FontStyle73"/>
              </w:rPr>
            </w:pPr>
            <w:r w:rsidRPr="009B4E26">
              <w:rPr>
                <w:rStyle w:val="FontStyle73"/>
              </w:rPr>
              <w:t>10,9</w:t>
            </w:r>
          </w:p>
        </w:tc>
        <w:tc>
          <w:tcPr>
            <w:tcW w:w="992"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912"/>
                <w:tab w:val="left" w:pos="952"/>
              </w:tabs>
              <w:spacing w:line="240" w:lineRule="auto"/>
              <w:jc w:val="center"/>
              <w:rPr>
                <w:rStyle w:val="FontStyle73"/>
              </w:rPr>
            </w:pPr>
            <w:r w:rsidRPr="009B4E26">
              <w:rPr>
                <w:rStyle w:val="FontStyle73"/>
              </w:rPr>
              <w:t>66</w:t>
            </w:r>
          </w:p>
        </w:tc>
      </w:tr>
      <w:tr w:rsidR="002664E4" w:rsidRPr="009B4E26" w:rsidTr="00627857">
        <w:tc>
          <w:tcPr>
            <w:tcW w:w="3685" w:type="dxa"/>
            <w:tcBorders>
              <w:top w:val="single" w:sz="6" w:space="0" w:color="auto"/>
              <w:left w:val="single" w:sz="6" w:space="0" w:color="auto"/>
              <w:bottom w:val="single" w:sz="6" w:space="0" w:color="auto"/>
              <w:right w:val="single" w:sz="6" w:space="0" w:color="auto"/>
            </w:tcBorders>
          </w:tcPr>
          <w:p w:rsidR="002664E4" w:rsidRPr="009B4E26" w:rsidRDefault="002664E4" w:rsidP="00770BC8">
            <w:pPr>
              <w:pStyle w:val="Style32"/>
              <w:widowControl/>
              <w:spacing w:line="240" w:lineRule="auto"/>
              <w:jc w:val="left"/>
              <w:rPr>
                <w:rStyle w:val="FontStyle73"/>
                <w:lang w:val="en-US"/>
              </w:rPr>
            </w:pPr>
            <w:r w:rsidRPr="009B4E26">
              <w:rPr>
                <w:rStyle w:val="FontStyle73"/>
                <w:lang w:val="en-US"/>
              </w:rPr>
              <w:t>Capital repair and upgrading</w:t>
            </w:r>
          </w:p>
        </w:tc>
        <w:tc>
          <w:tcPr>
            <w:tcW w:w="1134"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ind w:left="-40"/>
              <w:jc w:val="center"/>
              <w:rPr>
                <w:rStyle w:val="FontStyle73"/>
              </w:rPr>
            </w:pPr>
            <w:r w:rsidRPr="009B4E26">
              <w:rPr>
                <w:rStyle w:val="FontStyle73"/>
              </w:rPr>
              <w:t>31</w:t>
            </w:r>
          </w:p>
        </w:tc>
        <w:tc>
          <w:tcPr>
            <w:tcW w:w="113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spacing w:line="240" w:lineRule="auto"/>
              <w:jc w:val="center"/>
              <w:rPr>
                <w:rStyle w:val="FontStyle73"/>
              </w:rPr>
            </w:pPr>
            <w:r w:rsidRPr="009B4E26">
              <w:rPr>
                <w:rStyle w:val="FontStyle73"/>
              </w:rPr>
              <w:t>14</w:t>
            </w:r>
          </w:p>
        </w:tc>
        <w:tc>
          <w:tcPr>
            <w:tcW w:w="127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1195"/>
              </w:tabs>
              <w:spacing w:line="240" w:lineRule="auto"/>
              <w:ind w:right="-40"/>
              <w:jc w:val="center"/>
              <w:rPr>
                <w:rStyle w:val="FontStyle73"/>
              </w:rPr>
            </w:pPr>
            <w:r w:rsidRPr="009B4E26">
              <w:rPr>
                <w:rStyle w:val="FontStyle73"/>
              </w:rPr>
              <w:t>0,5</w:t>
            </w:r>
          </w:p>
        </w:tc>
        <w:tc>
          <w:tcPr>
            <w:tcW w:w="992"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9B4E26">
            <w:pPr>
              <w:pStyle w:val="Style32"/>
              <w:widowControl/>
              <w:tabs>
                <w:tab w:val="left" w:pos="912"/>
                <w:tab w:val="left" w:pos="952"/>
              </w:tabs>
              <w:spacing w:line="240" w:lineRule="auto"/>
              <w:jc w:val="center"/>
              <w:rPr>
                <w:rStyle w:val="FontStyle73"/>
              </w:rPr>
            </w:pPr>
            <w:r w:rsidRPr="009B4E26">
              <w:rPr>
                <w:rStyle w:val="FontStyle73"/>
              </w:rPr>
              <w:t>3</w:t>
            </w:r>
          </w:p>
        </w:tc>
      </w:tr>
      <w:tr w:rsidR="002664E4" w:rsidRPr="009B4E26" w:rsidTr="00627857">
        <w:tc>
          <w:tcPr>
            <w:tcW w:w="368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firstLine="0"/>
              <w:rPr>
                <w:rStyle w:val="FontStyle67"/>
                <w:lang w:val="en-US"/>
              </w:rPr>
            </w:pPr>
            <w:r w:rsidRPr="009B4E26">
              <w:rPr>
                <w:rStyle w:val="FontStyle67"/>
                <w:lang w:val="en-US"/>
              </w:rPr>
              <w:t>Total</w:t>
            </w:r>
          </w:p>
        </w:tc>
        <w:tc>
          <w:tcPr>
            <w:tcW w:w="1134"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spacing w:line="240" w:lineRule="auto"/>
              <w:ind w:left="-40" w:firstLine="0"/>
              <w:jc w:val="center"/>
              <w:rPr>
                <w:rStyle w:val="FontStyle67"/>
              </w:rPr>
            </w:pPr>
            <w:r w:rsidRPr="009B4E26">
              <w:rPr>
                <w:rStyle w:val="FontStyle67"/>
              </w:rPr>
              <w:t>220</w:t>
            </w:r>
          </w:p>
        </w:tc>
        <w:tc>
          <w:tcPr>
            <w:tcW w:w="113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28"/>
              <w:widowControl/>
              <w:jc w:val="center"/>
              <w:rPr>
                <w:sz w:val="18"/>
                <w:szCs w:val="18"/>
              </w:rPr>
            </w:pPr>
          </w:p>
        </w:tc>
        <w:tc>
          <w:tcPr>
            <w:tcW w:w="1275"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31"/>
              <w:widowControl/>
              <w:tabs>
                <w:tab w:val="left" w:pos="1195"/>
              </w:tabs>
              <w:spacing w:line="240" w:lineRule="auto"/>
              <w:ind w:right="-40" w:firstLine="0"/>
              <w:jc w:val="center"/>
              <w:rPr>
                <w:rStyle w:val="FontStyle67"/>
              </w:rPr>
            </w:pPr>
            <w:r w:rsidRPr="009B4E26">
              <w:rPr>
                <w:rStyle w:val="FontStyle67"/>
              </w:rPr>
              <w:t>16,5</w:t>
            </w:r>
          </w:p>
        </w:tc>
        <w:tc>
          <w:tcPr>
            <w:tcW w:w="992" w:type="dxa"/>
            <w:tcBorders>
              <w:top w:val="single" w:sz="6" w:space="0" w:color="auto"/>
              <w:left w:val="single" w:sz="6" w:space="0" w:color="auto"/>
              <w:bottom w:val="single" w:sz="6" w:space="0" w:color="auto"/>
              <w:right w:val="single" w:sz="6" w:space="0" w:color="auto"/>
            </w:tcBorders>
            <w:vAlign w:val="center"/>
          </w:tcPr>
          <w:p w:rsidR="002664E4" w:rsidRPr="009B4E26" w:rsidRDefault="002664E4" w:rsidP="00770BC8">
            <w:pPr>
              <w:pStyle w:val="Style28"/>
              <w:widowControl/>
              <w:tabs>
                <w:tab w:val="left" w:pos="912"/>
                <w:tab w:val="left" w:pos="952"/>
              </w:tabs>
              <w:jc w:val="center"/>
              <w:rPr>
                <w:sz w:val="18"/>
                <w:szCs w:val="18"/>
              </w:rPr>
            </w:pPr>
          </w:p>
        </w:tc>
      </w:tr>
    </w:tbl>
    <w:p w:rsidR="002664E4" w:rsidRDefault="002664E4" w:rsidP="002664E4">
      <w:pPr>
        <w:tabs>
          <w:tab w:val="left" w:pos="426"/>
          <w:tab w:val="left" w:pos="993"/>
        </w:tabs>
        <w:autoSpaceDE w:val="0"/>
        <w:autoSpaceDN w:val="0"/>
        <w:adjustRightInd w:val="0"/>
        <w:ind w:left="-709" w:firstLine="709"/>
        <w:jc w:val="both"/>
        <w:rPr>
          <w:rStyle w:val="FontStyle75"/>
          <w:rFonts w:eastAsiaTheme="minorEastAsia"/>
          <w:lang w:val="en-US"/>
        </w:rPr>
      </w:pPr>
    </w:p>
    <w:p w:rsidR="002664E4" w:rsidRDefault="002664E4" w:rsidP="002664E4">
      <w:pPr>
        <w:tabs>
          <w:tab w:val="left" w:pos="426"/>
          <w:tab w:val="left" w:pos="993"/>
        </w:tabs>
        <w:autoSpaceDE w:val="0"/>
        <w:autoSpaceDN w:val="0"/>
        <w:adjustRightInd w:val="0"/>
        <w:ind w:left="-709" w:firstLine="709"/>
        <w:jc w:val="both"/>
        <w:rPr>
          <w:rStyle w:val="FontStyle75"/>
          <w:rFonts w:eastAsiaTheme="minorEastAsia"/>
          <w:lang w:val="en-US"/>
        </w:rPr>
      </w:pPr>
      <w:r w:rsidRPr="005C5B08">
        <w:rPr>
          <w:rStyle w:val="FontStyle75"/>
          <w:rFonts w:eastAsiaTheme="minorEastAsia"/>
          <w:lang w:val="en-US"/>
        </w:rPr>
        <w:t>The Fund will continue to provide maximum assistance to the Government of the Republic of Kazakhstan to achieve the objectives of diversification and modernization of the national economy in the framework of the messages of the President of the Republic of Kazakhstan, the SPFI</w:t>
      </w:r>
      <w:r w:rsidR="00D04101">
        <w:rPr>
          <w:rStyle w:val="FontStyle75"/>
          <w:rFonts w:eastAsiaTheme="minorEastAsia"/>
          <w:lang w:val="en-US"/>
        </w:rPr>
        <w:t>ID</w:t>
      </w:r>
      <w:r w:rsidRPr="005C5B08">
        <w:rPr>
          <w:rStyle w:val="FontStyle75"/>
          <w:rFonts w:eastAsiaTheme="minorEastAsia"/>
          <w:lang w:val="en-US"/>
        </w:rPr>
        <w:t xml:space="preserve">, </w:t>
      </w:r>
      <w:r>
        <w:rPr>
          <w:rStyle w:val="FontStyle75"/>
          <w:rFonts w:eastAsiaTheme="minorEastAsia"/>
          <w:lang w:val="en-US"/>
        </w:rPr>
        <w:t>Strategic</w:t>
      </w:r>
      <w:r w:rsidRPr="005C5B08">
        <w:rPr>
          <w:rStyle w:val="FontStyle75"/>
          <w:rFonts w:eastAsiaTheme="minorEastAsia"/>
          <w:lang w:val="en-US"/>
        </w:rPr>
        <w:t xml:space="preserve"> </w:t>
      </w:r>
      <w:r>
        <w:rPr>
          <w:rStyle w:val="FontStyle75"/>
          <w:rFonts w:eastAsiaTheme="minorEastAsia"/>
          <w:lang w:val="en-US"/>
        </w:rPr>
        <w:t xml:space="preserve">Development </w:t>
      </w:r>
      <w:r w:rsidRPr="005C5B08">
        <w:rPr>
          <w:rStyle w:val="FontStyle75"/>
          <w:rFonts w:eastAsiaTheme="minorEastAsia"/>
          <w:lang w:val="en-US"/>
        </w:rPr>
        <w:t xml:space="preserve">Plan of the Republic of Kazakhstan </w:t>
      </w:r>
      <w:r w:rsidR="00223971">
        <w:rPr>
          <w:rStyle w:val="FontStyle75"/>
          <w:rFonts w:eastAsiaTheme="minorEastAsia"/>
          <w:lang w:val="en-US"/>
        </w:rPr>
        <w:t xml:space="preserve">up to </w:t>
      </w:r>
      <w:r w:rsidRPr="005C5B08">
        <w:rPr>
          <w:rStyle w:val="FontStyle75"/>
          <w:rFonts w:eastAsiaTheme="minorEastAsia"/>
          <w:lang w:val="en-US"/>
        </w:rPr>
        <w:t xml:space="preserve">2020 and other strategic and policy documents of the country. </w:t>
      </w:r>
    </w:p>
    <w:p w:rsidR="00A4597C" w:rsidRPr="004B1B2E" w:rsidRDefault="00A4597C" w:rsidP="004B1B2E">
      <w:pPr>
        <w:tabs>
          <w:tab w:val="left" w:pos="426"/>
          <w:tab w:val="left" w:pos="993"/>
        </w:tabs>
        <w:autoSpaceDE w:val="0"/>
        <w:autoSpaceDN w:val="0"/>
        <w:adjustRightInd w:val="0"/>
        <w:ind w:left="-709" w:firstLine="709"/>
        <w:jc w:val="both"/>
        <w:rPr>
          <w:rFonts w:eastAsiaTheme="minorEastAsia"/>
          <w:color w:val="000000"/>
          <w:sz w:val="22"/>
          <w:szCs w:val="22"/>
          <w:lang w:val="en-US"/>
        </w:rPr>
      </w:pPr>
      <w:r w:rsidRPr="003D1843">
        <w:rPr>
          <w:rStyle w:val="FontStyle75"/>
          <w:rFonts w:eastAsiaTheme="minorEastAsia"/>
          <w:lang w:val="en-US"/>
        </w:rPr>
        <w:t xml:space="preserve">Fund implemented 24 investment projects worth about </w:t>
      </w:r>
      <w:r>
        <w:rPr>
          <w:rStyle w:val="FontStyle75"/>
          <w:rFonts w:eastAsiaTheme="minorEastAsia"/>
          <w:lang w:val="en-US"/>
        </w:rPr>
        <w:t>KZT 2.429 trillion a</w:t>
      </w:r>
      <w:r w:rsidRPr="003D1843">
        <w:rPr>
          <w:rStyle w:val="FontStyle75"/>
          <w:rFonts w:eastAsiaTheme="minorEastAsia"/>
          <w:lang w:val="en-US"/>
        </w:rPr>
        <w:t>s part of SPFIID.</w:t>
      </w:r>
      <w:r w:rsidR="004B1B2E">
        <w:rPr>
          <w:rStyle w:val="FontStyle75"/>
          <w:rFonts w:eastAsiaTheme="minorEastAsia"/>
          <w:lang w:val="en-US"/>
        </w:rPr>
        <w:t xml:space="preserve"> </w:t>
      </w:r>
      <w:r>
        <w:rPr>
          <w:rStyle w:val="FontStyle75"/>
          <w:rFonts w:eastAsiaTheme="minorEastAsia"/>
          <w:lang w:val="en-US"/>
        </w:rPr>
        <w:t>The i</w:t>
      </w:r>
      <w:r w:rsidRPr="005C5B08">
        <w:rPr>
          <w:rStyle w:val="FontStyle75"/>
          <w:rFonts w:eastAsiaTheme="minorEastAsia"/>
          <w:lang w:val="en-US"/>
        </w:rPr>
        <w:t xml:space="preserve">nformation on sources of funding as </w:t>
      </w:r>
      <w:r>
        <w:rPr>
          <w:rStyle w:val="FontStyle75"/>
          <w:rFonts w:eastAsiaTheme="minorEastAsia"/>
          <w:lang w:val="en-US"/>
        </w:rPr>
        <w:t>of</w:t>
      </w:r>
      <w:r w:rsidRPr="005C5B08">
        <w:rPr>
          <w:rStyle w:val="FontStyle75"/>
          <w:rFonts w:eastAsiaTheme="minorEastAsia"/>
          <w:lang w:val="en-US"/>
        </w:rPr>
        <w:t xml:space="preserve"> </w:t>
      </w:r>
      <w:r>
        <w:rPr>
          <w:rStyle w:val="FontStyle75"/>
          <w:rFonts w:eastAsiaTheme="minorEastAsia"/>
          <w:lang w:val="en-US"/>
        </w:rPr>
        <w:t xml:space="preserve">June 30, </w:t>
      </w:r>
      <w:r w:rsidRPr="005C5B08">
        <w:rPr>
          <w:rStyle w:val="FontStyle75"/>
          <w:rFonts w:eastAsiaTheme="minorEastAsia"/>
          <w:lang w:val="en-US"/>
        </w:rPr>
        <w:t xml:space="preserve">2012 </w:t>
      </w:r>
      <w:r>
        <w:rPr>
          <w:rStyle w:val="FontStyle75"/>
          <w:rFonts w:eastAsiaTheme="minorEastAsia"/>
          <w:lang w:val="en-US"/>
        </w:rPr>
        <w:t>for</w:t>
      </w:r>
      <w:r w:rsidRPr="005C5B08">
        <w:rPr>
          <w:rStyle w:val="FontStyle75"/>
          <w:rFonts w:eastAsiaTheme="minorEastAsia"/>
          <w:lang w:val="en-US"/>
        </w:rPr>
        <w:t xml:space="preserve"> implement</w:t>
      </w:r>
      <w:r>
        <w:rPr>
          <w:rStyle w:val="FontStyle75"/>
          <w:rFonts w:eastAsiaTheme="minorEastAsia"/>
          <w:lang w:val="en-US"/>
        </w:rPr>
        <w:t>ation of</w:t>
      </w:r>
      <w:r w:rsidRPr="005C5B08">
        <w:rPr>
          <w:rStyle w:val="FontStyle75"/>
          <w:rFonts w:eastAsiaTheme="minorEastAsia"/>
          <w:lang w:val="en-US"/>
        </w:rPr>
        <w:t xml:space="preserve"> the above</w:t>
      </w:r>
      <w:r>
        <w:rPr>
          <w:rStyle w:val="FontStyle75"/>
          <w:rFonts w:eastAsiaTheme="minorEastAsia"/>
          <w:lang w:val="en-US"/>
        </w:rPr>
        <w:t>mentioned</w:t>
      </w:r>
      <w:r w:rsidRPr="005C5B08">
        <w:rPr>
          <w:rStyle w:val="FontStyle75"/>
          <w:rFonts w:eastAsiaTheme="minorEastAsia"/>
          <w:lang w:val="en-US"/>
        </w:rPr>
        <w:t xml:space="preserve"> projects</w:t>
      </w:r>
      <w:r>
        <w:rPr>
          <w:rStyle w:val="FontStyle75"/>
          <w:rFonts w:eastAsiaTheme="minorEastAsia"/>
          <w:lang w:val="en-US"/>
        </w:rPr>
        <w:t xml:space="preserve"> is given below</w:t>
      </w:r>
      <w:r w:rsidRPr="005C5B08">
        <w:rPr>
          <w:rStyle w:val="FontStyle75"/>
          <w:rFonts w:eastAsiaTheme="minorEastAsia"/>
          <w:lang w:val="en-US"/>
        </w:rPr>
        <w:t>.</w:t>
      </w:r>
    </w:p>
    <w:p w:rsidR="00A4597C" w:rsidRPr="005C5B08" w:rsidRDefault="00A4597C" w:rsidP="00A4597C">
      <w:pPr>
        <w:tabs>
          <w:tab w:val="left" w:pos="426"/>
          <w:tab w:val="left" w:pos="993"/>
        </w:tabs>
        <w:autoSpaceDE w:val="0"/>
        <w:autoSpaceDN w:val="0"/>
        <w:adjustRightInd w:val="0"/>
        <w:ind w:left="-709" w:firstLine="709"/>
        <w:jc w:val="both"/>
        <w:rPr>
          <w:sz w:val="22"/>
          <w:szCs w:val="22"/>
          <w:lang w:val="en-US"/>
        </w:rPr>
      </w:pPr>
    </w:p>
    <w:tbl>
      <w:tblPr>
        <w:tblW w:w="765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558"/>
        <w:gridCol w:w="1736"/>
      </w:tblGrid>
      <w:tr w:rsidR="00A4597C" w:rsidRPr="009B4E26" w:rsidTr="00627857">
        <w:trPr>
          <w:trHeight w:val="285"/>
        </w:trPr>
        <w:tc>
          <w:tcPr>
            <w:tcW w:w="4361" w:type="dxa"/>
          </w:tcPr>
          <w:p w:rsidR="00A4597C" w:rsidRPr="009B4E26" w:rsidRDefault="00A4597C" w:rsidP="00FD62DA">
            <w:pPr>
              <w:pStyle w:val="Style32"/>
              <w:widowControl/>
              <w:spacing w:line="240" w:lineRule="auto"/>
              <w:jc w:val="center"/>
              <w:rPr>
                <w:rStyle w:val="FontStyle73"/>
                <w:b/>
                <w:lang w:val="en-US"/>
              </w:rPr>
            </w:pPr>
            <w:r w:rsidRPr="009B4E26">
              <w:rPr>
                <w:rStyle w:val="FontStyle73"/>
                <w:b/>
                <w:lang w:val="en-US"/>
              </w:rPr>
              <w:t xml:space="preserve">Source </w:t>
            </w:r>
          </w:p>
        </w:tc>
        <w:tc>
          <w:tcPr>
            <w:tcW w:w="1558" w:type="dxa"/>
            <w:vAlign w:val="center"/>
          </w:tcPr>
          <w:p w:rsidR="00A4597C" w:rsidRPr="009B4E26" w:rsidRDefault="00A4597C" w:rsidP="00EA4BDF">
            <w:pPr>
              <w:pStyle w:val="Style32"/>
              <w:widowControl/>
              <w:spacing w:line="240" w:lineRule="auto"/>
              <w:ind w:right="456"/>
              <w:jc w:val="center"/>
              <w:rPr>
                <w:rStyle w:val="FontStyle73"/>
                <w:b/>
                <w:lang w:val="en-US"/>
              </w:rPr>
            </w:pPr>
            <w:r w:rsidRPr="009B4E26">
              <w:rPr>
                <w:rStyle w:val="FontStyle73"/>
                <w:b/>
                <w:lang w:val="en-US"/>
              </w:rPr>
              <w:t xml:space="preserve">KZT </w:t>
            </w:r>
            <w:r w:rsidR="00EA4BDF" w:rsidRPr="009B4E26">
              <w:rPr>
                <w:rStyle w:val="FontStyle67"/>
                <w:lang w:val="en-US"/>
              </w:rPr>
              <w:t>b</w:t>
            </w:r>
            <w:r w:rsidRPr="009B4E26">
              <w:rPr>
                <w:rStyle w:val="FontStyle67"/>
                <w:lang w:val="en-US"/>
              </w:rPr>
              <w:t>illion</w:t>
            </w:r>
          </w:p>
        </w:tc>
        <w:tc>
          <w:tcPr>
            <w:tcW w:w="1736" w:type="dxa"/>
            <w:vAlign w:val="center"/>
          </w:tcPr>
          <w:p w:rsidR="00A4597C" w:rsidRPr="009B4E26" w:rsidRDefault="00A4597C" w:rsidP="00EA4BDF">
            <w:pPr>
              <w:pStyle w:val="Style32"/>
              <w:widowControl/>
              <w:spacing w:line="240" w:lineRule="auto"/>
              <w:ind w:left="283"/>
              <w:jc w:val="center"/>
              <w:rPr>
                <w:rStyle w:val="FontStyle73"/>
                <w:b/>
              </w:rPr>
            </w:pPr>
            <w:r w:rsidRPr="009B4E26">
              <w:rPr>
                <w:rStyle w:val="FontStyle73"/>
                <w:b/>
                <w:lang w:val="en-US"/>
              </w:rPr>
              <w:t>Share in</w:t>
            </w:r>
            <w:r w:rsidRPr="009B4E26">
              <w:rPr>
                <w:rStyle w:val="FontStyle73"/>
                <w:b/>
              </w:rPr>
              <w:t xml:space="preserve"> %</w:t>
            </w:r>
          </w:p>
        </w:tc>
      </w:tr>
      <w:tr w:rsidR="00A4597C" w:rsidRPr="009B4E26" w:rsidTr="00627857">
        <w:trPr>
          <w:trHeight w:val="262"/>
        </w:trPr>
        <w:tc>
          <w:tcPr>
            <w:tcW w:w="4361" w:type="dxa"/>
          </w:tcPr>
          <w:p w:rsidR="00A4597C" w:rsidRPr="009B4E26" w:rsidRDefault="00A4597C" w:rsidP="00FD62DA">
            <w:pPr>
              <w:pStyle w:val="Style32"/>
              <w:widowControl/>
              <w:spacing w:line="240" w:lineRule="auto"/>
              <w:jc w:val="left"/>
              <w:rPr>
                <w:rStyle w:val="FontStyle73"/>
                <w:lang w:val="en-US"/>
              </w:rPr>
            </w:pPr>
            <w:r w:rsidRPr="009B4E26">
              <w:rPr>
                <w:rStyle w:val="FontStyle73"/>
                <w:lang w:val="en-US"/>
              </w:rPr>
              <w:t>Own funds</w:t>
            </w:r>
          </w:p>
        </w:tc>
        <w:tc>
          <w:tcPr>
            <w:tcW w:w="1558" w:type="dxa"/>
            <w:vAlign w:val="center"/>
          </w:tcPr>
          <w:p w:rsidR="00A4597C" w:rsidRPr="009B4E26" w:rsidRDefault="00A4597C" w:rsidP="009B4E26">
            <w:pPr>
              <w:jc w:val="center"/>
              <w:rPr>
                <w:rFonts w:eastAsiaTheme="minorHAnsi"/>
                <w:sz w:val="18"/>
                <w:szCs w:val="18"/>
              </w:rPr>
            </w:pPr>
            <w:r w:rsidRPr="009B4E26">
              <w:rPr>
                <w:sz w:val="18"/>
                <w:szCs w:val="18"/>
              </w:rPr>
              <w:t>504,88</w:t>
            </w:r>
          </w:p>
        </w:tc>
        <w:tc>
          <w:tcPr>
            <w:tcW w:w="1736" w:type="dxa"/>
            <w:vAlign w:val="center"/>
          </w:tcPr>
          <w:p w:rsidR="00A4597C" w:rsidRPr="009B4E26" w:rsidRDefault="00A4597C" w:rsidP="009B4E26">
            <w:pPr>
              <w:jc w:val="center"/>
              <w:rPr>
                <w:rFonts w:eastAsiaTheme="minorHAnsi"/>
                <w:sz w:val="18"/>
                <w:szCs w:val="18"/>
              </w:rPr>
            </w:pPr>
            <w:r w:rsidRPr="009B4E26">
              <w:rPr>
                <w:sz w:val="18"/>
                <w:szCs w:val="18"/>
              </w:rPr>
              <w:t>21</w:t>
            </w:r>
          </w:p>
        </w:tc>
      </w:tr>
      <w:tr w:rsidR="00A4597C" w:rsidRPr="009B4E26" w:rsidTr="00627857">
        <w:trPr>
          <w:trHeight w:val="265"/>
        </w:trPr>
        <w:tc>
          <w:tcPr>
            <w:tcW w:w="4361" w:type="dxa"/>
          </w:tcPr>
          <w:p w:rsidR="00A4597C" w:rsidRPr="009B4E26" w:rsidRDefault="00A4597C" w:rsidP="00FD62DA">
            <w:pPr>
              <w:pStyle w:val="Style32"/>
              <w:widowControl/>
              <w:spacing w:line="240" w:lineRule="auto"/>
              <w:jc w:val="left"/>
              <w:rPr>
                <w:rStyle w:val="FontStyle73"/>
                <w:lang w:val="en-US"/>
              </w:rPr>
            </w:pPr>
            <w:r w:rsidRPr="009B4E26">
              <w:rPr>
                <w:rStyle w:val="FontStyle73"/>
                <w:lang w:val="en-US"/>
              </w:rPr>
              <w:t>Investments and borrowing from the RB</w:t>
            </w:r>
          </w:p>
        </w:tc>
        <w:tc>
          <w:tcPr>
            <w:tcW w:w="1558" w:type="dxa"/>
            <w:vAlign w:val="center"/>
          </w:tcPr>
          <w:p w:rsidR="00A4597C" w:rsidRPr="009B4E26" w:rsidRDefault="00A4597C" w:rsidP="009B4E26">
            <w:pPr>
              <w:jc w:val="center"/>
              <w:rPr>
                <w:rFonts w:eastAsiaTheme="minorHAnsi"/>
                <w:sz w:val="18"/>
                <w:szCs w:val="18"/>
              </w:rPr>
            </w:pPr>
            <w:r w:rsidRPr="009B4E26">
              <w:rPr>
                <w:sz w:val="18"/>
                <w:szCs w:val="18"/>
              </w:rPr>
              <w:t>330,03</w:t>
            </w:r>
          </w:p>
        </w:tc>
        <w:tc>
          <w:tcPr>
            <w:tcW w:w="1736" w:type="dxa"/>
            <w:vAlign w:val="center"/>
          </w:tcPr>
          <w:p w:rsidR="00A4597C" w:rsidRPr="009B4E26" w:rsidRDefault="00A4597C" w:rsidP="009B4E26">
            <w:pPr>
              <w:jc w:val="center"/>
              <w:rPr>
                <w:rFonts w:eastAsiaTheme="minorHAnsi"/>
                <w:sz w:val="18"/>
                <w:szCs w:val="18"/>
              </w:rPr>
            </w:pPr>
            <w:r w:rsidRPr="009B4E26">
              <w:rPr>
                <w:sz w:val="18"/>
                <w:szCs w:val="18"/>
              </w:rPr>
              <w:t>14</w:t>
            </w:r>
          </w:p>
        </w:tc>
      </w:tr>
      <w:tr w:rsidR="00A4597C" w:rsidRPr="009B4E26" w:rsidTr="00627857">
        <w:trPr>
          <w:trHeight w:val="282"/>
        </w:trPr>
        <w:tc>
          <w:tcPr>
            <w:tcW w:w="4361" w:type="dxa"/>
          </w:tcPr>
          <w:p w:rsidR="00A4597C" w:rsidRPr="009B4E26" w:rsidRDefault="00A4597C" w:rsidP="00FD62DA">
            <w:pPr>
              <w:pStyle w:val="Style31"/>
              <w:widowControl/>
              <w:spacing w:line="240" w:lineRule="auto"/>
              <w:ind w:firstLine="0"/>
              <w:rPr>
                <w:rStyle w:val="FontStyle67"/>
                <w:b w:val="0"/>
                <w:lang w:val="en-US"/>
              </w:rPr>
            </w:pPr>
            <w:r w:rsidRPr="009B4E26">
              <w:rPr>
                <w:rStyle w:val="FontStyle67"/>
                <w:b w:val="0"/>
                <w:lang w:val="en-US"/>
              </w:rPr>
              <w:t>Means of the National Fund of the RK</w:t>
            </w:r>
          </w:p>
        </w:tc>
        <w:tc>
          <w:tcPr>
            <w:tcW w:w="1558" w:type="dxa"/>
            <w:vAlign w:val="center"/>
          </w:tcPr>
          <w:p w:rsidR="00A4597C" w:rsidRPr="009B4E26" w:rsidRDefault="00A4597C" w:rsidP="009B4E26">
            <w:pPr>
              <w:jc w:val="center"/>
              <w:rPr>
                <w:rFonts w:eastAsiaTheme="minorHAnsi"/>
                <w:sz w:val="18"/>
                <w:szCs w:val="18"/>
              </w:rPr>
            </w:pPr>
            <w:r w:rsidRPr="009B4E26">
              <w:rPr>
                <w:sz w:val="18"/>
                <w:szCs w:val="18"/>
              </w:rPr>
              <w:t>37,0</w:t>
            </w:r>
          </w:p>
        </w:tc>
        <w:tc>
          <w:tcPr>
            <w:tcW w:w="1736" w:type="dxa"/>
            <w:vAlign w:val="center"/>
          </w:tcPr>
          <w:p w:rsidR="00A4597C" w:rsidRPr="009B4E26" w:rsidRDefault="00A4597C" w:rsidP="009B4E26">
            <w:pPr>
              <w:jc w:val="center"/>
              <w:rPr>
                <w:rFonts w:eastAsiaTheme="minorHAnsi"/>
                <w:sz w:val="18"/>
                <w:szCs w:val="18"/>
              </w:rPr>
            </w:pPr>
            <w:r w:rsidRPr="009B4E26">
              <w:rPr>
                <w:sz w:val="18"/>
                <w:szCs w:val="18"/>
              </w:rPr>
              <w:t>2</w:t>
            </w:r>
          </w:p>
        </w:tc>
      </w:tr>
      <w:tr w:rsidR="00A4597C" w:rsidRPr="009B4E26" w:rsidTr="00627857">
        <w:trPr>
          <w:trHeight w:val="282"/>
        </w:trPr>
        <w:tc>
          <w:tcPr>
            <w:tcW w:w="4361" w:type="dxa"/>
          </w:tcPr>
          <w:p w:rsidR="00A4597C" w:rsidRPr="009B4E26" w:rsidRDefault="00A4597C" w:rsidP="00FD62DA">
            <w:pPr>
              <w:pStyle w:val="Style31"/>
              <w:widowControl/>
              <w:spacing w:line="240" w:lineRule="auto"/>
              <w:ind w:firstLine="0"/>
              <w:rPr>
                <w:rStyle w:val="FontStyle67"/>
                <w:b w:val="0"/>
                <w:lang w:val="en-US"/>
              </w:rPr>
            </w:pPr>
            <w:r w:rsidRPr="009B4E26">
              <w:rPr>
                <w:rStyle w:val="FontStyle67"/>
                <w:b w:val="0"/>
                <w:lang w:val="en-US"/>
              </w:rPr>
              <w:t>Market borrowing on the domestic and foreign capital markets</w:t>
            </w:r>
          </w:p>
        </w:tc>
        <w:tc>
          <w:tcPr>
            <w:tcW w:w="1558" w:type="dxa"/>
            <w:vAlign w:val="center"/>
          </w:tcPr>
          <w:p w:rsidR="00A4597C" w:rsidRPr="009B4E26" w:rsidRDefault="00A4597C" w:rsidP="009B4E26">
            <w:pPr>
              <w:jc w:val="center"/>
              <w:rPr>
                <w:rFonts w:eastAsiaTheme="minorHAnsi"/>
                <w:sz w:val="18"/>
                <w:szCs w:val="18"/>
              </w:rPr>
            </w:pPr>
            <w:r w:rsidRPr="009B4E26">
              <w:rPr>
                <w:sz w:val="18"/>
                <w:szCs w:val="18"/>
              </w:rPr>
              <w:t>1 557,88</w:t>
            </w:r>
          </w:p>
        </w:tc>
        <w:tc>
          <w:tcPr>
            <w:tcW w:w="1736" w:type="dxa"/>
            <w:vAlign w:val="center"/>
          </w:tcPr>
          <w:p w:rsidR="00A4597C" w:rsidRPr="009B4E26" w:rsidRDefault="00A4597C" w:rsidP="009B4E26">
            <w:pPr>
              <w:jc w:val="center"/>
              <w:rPr>
                <w:rFonts w:eastAsiaTheme="minorHAnsi"/>
                <w:sz w:val="18"/>
                <w:szCs w:val="18"/>
              </w:rPr>
            </w:pPr>
            <w:r w:rsidRPr="009B4E26">
              <w:rPr>
                <w:sz w:val="18"/>
                <w:szCs w:val="18"/>
              </w:rPr>
              <w:t>64</w:t>
            </w:r>
          </w:p>
        </w:tc>
      </w:tr>
    </w:tbl>
    <w:p w:rsidR="00627857" w:rsidRDefault="00627857" w:rsidP="00A4597C">
      <w:pPr>
        <w:tabs>
          <w:tab w:val="left" w:pos="426"/>
          <w:tab w:val="left" w:pos="993"/>
        </w:tabs>
        <w:autoSpaceDE w:val="0"/>
        <w:autoSpaceDN w:val="0"/>
        <w:adjustRightInd w:val="0"/>
        <w:ind w:left="-709" w:firstLine="709"/>
        <w:jc w:val="both"/>
        <w:rPr>
          <w:sz w:val="22"/>
          <w:szCs w:val="22"/>
          <w:lang w:val="en-US"/>
        </w:rPr>
      </w:pPr>
    </w:p>
    <w:p w:rsidR="00A4597C" w:rsidRDefault="00A4597C" w:rsidP="00A4597C">
      <w:pPr>
        <w:tabs>
          <w:tab w:val="left" w:pos="426"/>
          <w:tab w:val="left" w:pos="993"/>
        </w:tabs>
        <w:autoSpaceDE w:val="0"/>
        <w:autoSpaceDN w:val="0"/>
        <w:adjustRightInd w:val="0"/>
        <w:ind w:left="-709" w:firstLine="709"/>
        <w:jc w:val="both"/>
        <w:rPr>
          <w:sz w:val="22"/>
          <w:szCs w:val="22"/>
          <w:lang w:val="en-US"/>
        </w:rPr>
      </w:pPr>
      <w:r>
        <w:rPr>
          <w:sz w:val="22"/>
          <w:szCs w:val="22"/>
          <w:lang w:val="en-US"/>
        </w:rPr>
        <w:t>Equity capital</w:t>
      </w:r>
      <w:r w:rsidRPr="00BF1D0E">
        <w:rPr>
          <w:sz w:val="22"/>
          <w:szCs w:val="22"/>
          <w:lang w:val="en-US"/>
        </w:rPr>
        <w:t xml:space="preserve"> of the </w:t>
      </w:r>
      <w:r>
        <w:rPr>
          <w:sz w:val="22"/>
          <w:szCs w:val="22"/>
          <w:lang w:val="en-US"/>
        </w:rPr>
        <w:t xml:space="preserve">Group of the </w:t>
      </w:r>
      <w:r w:rsidRPr="00BF1D0E">
        <w:rPr>
          <w:sz w:val="22"/>
          <w:szCs w:val="22"/>
          <w:lang w:val="en-US"/>
        </w:rPr>
        <w:t>Fund is derived from dividend income / re</w:t>
      </w:r>
      <w:r>
        <w:rPr>
          <w:sz w:val="22"/>
          <w:szCs w:val="22"/>
          <w:lang w:val="en-US"/>
        </w:rPr>
        <w:t>tained earnings</w:t>
      </w:r>
      <w:r w:rsidRPr="00BF1D0E">
        <w:rPr>
          <w:sz w:val="22"/>
          <w:szCs w:val="22"/>
          <w:lang w:val="en-US"/>
        </w:rPr>
        <w:t xml:space="preserve"> and financial / non-financial </w:t>
      </w:r>
      <w:r>
        <w:rPr>
          <w:sz w:val="22"/>
          <w:szCs w:val="22"/>
          <w:lang w:val="en-US"/>
        </w:rPr>
        <w:t>Companies’</w:t>
      </w:r>
      <w:r w:rsidRPr="00BF1D0E">
        <w:rPr>
          <w:sz w:val="22"/>
          <w:szCs w:val="22"/>
          <w:lang w:val="en-US"/>
        </w:rPr>
        <w:t xml:space="preserve"> revenues. Projects implemented </w:t>
      </w:r>
      <w:r>
        <w:rPr>
          <w:sz w:val="22"/>
          <w:szCs w:val="22"/>
          <w:lang w:val="en-US"/>
        </w:rPr>
        <w:t>as part of</w:t>
      </w:r>
      <w:r w:rsidRPr="00BF1D0E">
        <w:rPr>
          <w:sz w:val="22"/>
          <w:szCs w:val="22"/>
          <w:lang w:val="en-US"/>
        </w:rPr>
        <w:t xml:space="preserve"> public</w:t>
      </w:r>
      <w:r>
        <w:rPr>
          <w:sz w:val="22"/>
          <w:szCs w:val="22"/>
          <w:lang w:val="en-US"/>
        </w:rPr>
        <w:t>,</w:t>
      </w:r>
      <w:r w:rsidRPr="00BF1D0E">
        <w:rPr>
          <w:sz w:val="22"/>
          <w:szCs w:val="22"/>
          <w:lang w:val="en-US"/>
        </w:rPr>
        <w:t xml:space="preserve"> sector programs, as well as on </w:t>
      </w:r>
      <w:r>
        <w:rPr>
          <w:sz w:val="22"/>
          <w:szCs w:val="22"/>
          <w:lang w:val="en-US"/>
        </w:rPr>
        <w:t>the instruction</w:t>
      </w:r>
      <w:r w:rsidRPr="00BF1D0E">
        <w:rPr>
          <w:sz w:val="22"/>
          <w:szCs w:val="22"/>
          <w:lang w:val="en-US"/>
        </w:rPr>
        <w:t xml:space="preserve"> of the Government d</w:t>
      </w:r>
      <w:r>
        <w:rPr>
          <w:sz w:val="22"/>
          <w:szCs w:val="22"/>
          <w:lang w:val="en-US"/>
        </w:rPr>
        <w:t>o</w:t>
      </w:r>
      <w:r w:rsidRPr="00BF1D0E">
        <w:rPr>
          <w:sz w:val="22"/>
          <w:szCs w:val="22"/>
          <w:lang w:val="en-US"/>
        </w:rPr>
        <w:t xml:space="preserve"> not fulfill the minimum requirements of </w:t>
      </w:r>
      <w:r>
        <w:rPr>
          <w:sz w:val="22"/>
          <w:szCs w:val="22"/>
          <w:lang w:val="en-US"/>
        </w:rPr>
        <w:t>C</w:t>
      </w:r>
      <w:r w:rsidRPr="00BF1D0E">
        <w:rPr>
          <w:sz w:val="22"/>
          <w:szCs w:val="22"/>
          <w:lang w:val="en-US"/>
        </w:rPr>
        <w:t xml:space="preserve">ompanies </w:t>
      </w:r>
      <w:r>
        <w:rPr>
          <w:sz w:val="22"/>
          <w:szCs w:val="22"/>
          <w:lang w:val="en-US"/>
        </w:rPr>
        <w:t>of the Fund on the return</w:t>
      </w:r>
      <w:r w:rsidRPr="00BF1D0E">
        <w:rPr>
          <w:sz w:val="22"/>
          <w:szCs w:val="22"/>
          <w:lang w:val="en-US"/>
        </w:rPr>
        <w:t xml:space="preserve"> on </w:t>
      </w:r>
      <w:r>
        <w:rPr>
          <w:sz w:val="22"/>
          <w:szCs w:val="22"/>
          <w:lang w:val="en-US"/>
        </w:rPr>
        <w:t>capital employed</w:t>
      </w:r>
      <w:r w:rsidRPr="00BF1D0E">
        <w:rPr>
          <w:sz w:val="22"/>
          <w:szCs w:val="22"/>
          <w:lang w:val="en-US"/>
        </w:rPr>
        <w:t xml:space="preserve">. Therefore, </w:t>
      </w:r>
      <w:r>
        <w:rPr>
          <w:sz w:val="22"/>
          <w:szCs w:val="22"/>
          <w:lang w:val="en-US"/>
        </w:rPr>
        <w:t>C</w:t>
      </w:r>
      <w:r w:rsidRPr="00BF1D0E">
        <w:rPr>
          <w:sz w:val="22"/>
          <w:szCs w:val="22"/>
          <w:lang w:val="en-US"/>
        </w:rPr>
        <w:t xml:space="preserve">ompanies in the implementation of social projects </w:t>
      </w:r>
      <w:r>
        <w:rPr>
          <w:sz w:val="22"/>
          <w:szCs w:val="22"/>
          <w:lang w:val="en-US"/>
        </w:rPr>
        <w:t>as a rule,</w:t>
      </w:r>
      <w:r w:rsidRPr="00BF1D0E">
        <w:rPr>
          <w:sz w:val="22"/>
          <w:szCs w:val="22"/>
          <w:lang w:val="en-US"/>
        </w:rPr>
        <w:t xml:space="preserve"> receive funding from the state budget and the National Fund</w:t>
      </w:r>
      <w:r>
        <w:rPr>
          <w:sz w:val="22"/>
          <w:szCs w:val="22"/>
          <w:lang w:val="en-US"/>
        </w:rPr>
        <w:t xml:space="preserve"> of RK</w:t>
      </w:r>
      <w:r w:rsidRPr="00BF1D0E">
        <w:rPr>
          <w:sz w:val="22"/>
          <w:szCs w:val="22"/>
          <w:lang w:val="en-US"/>
        </w:rPr>
        <w:t xml:space="preserve">. </w:t>
      </w:r>
    </w:p>
    <w:p w:rsidR="00A4597C" w:rsidRPr="00BF1D0E" w:rsidRDefault="00A4597C" w:rsidP="00A4597C">
      <w:pPr>
        <w:tabs>
          <w:tab w:val="left" w:pos="426"/>
          <w:tab w:val="left" w:pos="993"/>
        </w:tabs>
        <w:autoSpaceDE w:val="0"/>
        <w:autoSpaceDN w:val="0"/>
        <w:adjustRightInd w:val="0"/>
        <w:ind w:left="-709" w:firstLine="709"/>
        <w:jc w:val="both"/>
        <w:rPr>
          <w:sz w:val="22"/>
          <w:szCs w:val="22"/>
          <w:lang w:val="en-US"/>
        </w:rPr>
      </w:pPr>
      <w:r>
        <w:rPr>
          <w:sz w:val="22"/>
          <w:szCs w:val="22"/>
          <w:lang w:val="en-US"/>
        </w:rPr>
        <w:t xml:space="preserve">As of </w:t>
      </w:r>
      <w:r>
        <w:rPr>
          <w:rStyle w:val="FontStyle75"/>
          <w:rFonts w:eastAsiaTheme="minorEastAsia"/>
          <w:lang w:val="en-US"/>
        </w:rPr>
        <w:t xml:space="preserve">June 30, </w:t>
      </w:r>
      <w:r w:rsidRPr="005C5B08">
        <w:rPr>
          <w:rStyle w:val="FontStyle75"/>
          <w:rFonts w:eastAsiaTheme="minorEastAsia"/>
          <w:lang w:val="en-US"/>
        </w:rPr>
        <w:t xml:space="preserve">2012 </w:t>
      </w:r>
      <w:r>
        <w:rPr>
          <w:sz w:val="22"/>
          <w:szCs w:val="22"/>
          <w:lang w:val="en-US"/>
        </w:rPr>
        <w:t>borrowing from the Government of the Republic of Kazakhstan amounted to KZT 965</w:t>
      </w:r>
      <w:r w:rsidRPr="00BF1D0E">
        <w:rPr>
          <w:sz w:val="22"/>
          <w:szCs w:val="22"/>
          <w:lang w:val="en-US"/>
        </w:rPr>
        <w:t xml:space="preserve"> </w:t>
      </w:r>
      <w:r>
        <w:rPr>
          <w:sz w:val="22"/>
          <w:szCs w:val="22"/>
          <w:lang w:val="en-US"/>
        </w:rPr>
        <w:t>billion</w:t>
      </w:r>
      <w:r w:rsidRPr="00BF1D0E">
        <w:rPr>
          <w:sz w:val="22"/>
          <w:szCs w:val="22"/>
          <w:lang w:val="en-US"/>
        </w:rPr>
        <w:t xml:space="preserve"> (201</w:t>
      </w:r>
      <w:r>
        <w:rPr>
          <w:sz w:val="22"/>
          <w:szCs w:val="22"/>
          <w:lang w:val="en-US"/>
        </w:rPr>
        <w:t>1</w:t>
      </w:r>
      <w:r w:rsidRPr="00BF1D0E">
        <w:rPr>
          <w:sz w:val="22"/>
          <w:szCs w:val="22"/>
          <w:lang w:val="en-US"/>
        </w:rPr>
        <w:t xml:space="preserve">: </w:t>
      </w:r>
      <w:r>
        <w:rPr>
          <w:sz w:val="22"/>
          <w:szCs w:val="22"/>
          <w:lang w:val="en-US"/>
        </w:rPr>
        <w:t>KZT 869</w:t>
      </w:r>
      <w:r w:rsidRPr="00BF1D0E">
        <w:rPr>
          <w:sz w:val="22"/>
          <w:szCs w:val="22"/>
          <w:lang w:val="en-US"/>
        </w:rPr>
        <w:t> </w:t>
      </w:r>
      <w:r>
        <w:rPr>
          <w:sz w:val="22"/>
          <w:szCs w:val="22"/>
          <w:lang w:val="en-US"/>
        </w:rPr>
        <w:t>billion</w:t>
      </w:r>
      <w:r w:rsidRPr="00BF1D0E">
        <w:rPr>
          <w:sz w:val="22"/>
          <w:szCs w:val="22"/>
          <w:lang w:val="en-US"/>
        </w:rPr>
        <w:t xml:space="preserve">). </w:t>
      </w:r>
    </w:p>
    <w:p w:rsidR="00A4597C" w:rsidRPr="00EB501D" w:rsidRDefault="00A4597C" w:rsidP="00A4597C">
      <w:pPr>
        <w:tabs>
          <w:tab w:val="left" w:pos="426"/>
          <w:tab w:val="left" w:pos="993"/>
        </w:tabs>
        <w:autoSpaceDE w:val="0"/>
        <w:autoSpaceDN w:val="0"/>
        <w:adjustRightInd w:val="0"/>
        <w:ind w:left="-709" w:firstLine="709"/>
        <w:jc w:val="both"/>
        <w:rPr>
          <w:color w:val="000000"/>
          <w:sz w:val="22"/>
          <w:szCs w:val="22"/>
          <w:lang w:val="en-US"/>
        </w:rPr>
      </w:pPr>
      <w:r w:rsidRPr="00EB501D">
        <w:rPr>
          <w:sz w:val="22"/>
          <w:szCs w:val="22"/>
          <w:lang w:val="en-US"/>
        </w:rPr>
        <w:t>To</w:t>
      </w:r>
      <w:r>
        <w:rPr>
          <w:sz w:val="22"/>
          <w:szCs w:val="22"/>
          <w:lang w:val="en-US"/>
        </w:rPr>
        <w:t xml:space="preserve"> </w:t>
      </w:r>
      <w:r w:rsidRPr="00EB501D">
        <w:rPr>
          <w:sz w:val="22"/>
          <w:szCs w:val="22"/>
          <w:lang w:val="en-US"/>
        </w:rPr>
        <w:t>minimize foreign exchange risks the Fund</w:t>
      </w:r>
      <w:r>
        <w:rPr>
          <w:sz w:val="22"/>
          <w:szCs w:val="22"/>
          <w:lang w:val="en-US"/>
        </w:rPr>
        <w:t>’s companies carry</w:t>
      </w:r>
      <w:r w:rsidRPr="00EB501D">
        <w:rPr>
          <w:sz w:val="22"/>
          <w:szCs w:val="22"/>
          <w:lang w:val="en-US"/>
        </w:rPr>
        <w:t xml:space="preserve"> out </w:t>
      </w:r>
      <w:r w:rsidR="007B3EF3">
        <w:rPr>
          <w:sz w:val="22"/>
          <w:szCs w:val="22"/>
          <w:lang w:val="en-US"/>
        </w:rPr>
        <w:t>a part of borrowings</w:t>
      </w:r>
      <w:r>
        <w:rPr>
          <w:sz w:val="22"/>
          <w:szCs w:val="22"/>
          <w:lang w:val="en-US"/>
        </w:rPr>
        <w:t xml:space="preserve"> on</w:t>
      </w:r>
      <w:r w:rsidRPr="00EB501D">
        <w:rPr>
          <w:sz w:val="22"/>
          <w:szCs w:val="22"/>
          <w:lang w:val="en-US"/>
        </w:rPr>
        <w:t xml:space="preserve"> the domestic stock market. </w:t>
      </w:r>
      <w:r>
        <w:rPr>
          <w:sz w:val="22"/>
          <w:szCs w:val="22"/>
          <w:lang w:val="en-US"/>
        </w:rPr>
        <w:t>A</w:t>
      </w:r>
      <w:r w:rsidRPr="00EB501D">
        <w:rPr>
          <w:sz w:val="22"/>
          <w:szCs w:val="22"/>
          <w:lang w:val="en-US"/>
        </w:rPr>
        <w:t xml:space="preserve">n additional source of funding for capital expenditure will be money involved </w:t>
      </w:r>
      <w:r>
        <w:rPr>
          <w:sz w:val="22"/>
          <w:szCs w:val="22"/>
          <w:lang w:val="en-US"/>
        </w:rPr>
        <w:t>from the</w:t>
      </w:r>
      <w:r w:rsidRPr="00EB501D">
        <w:rPr>
          <w:sz w:val="22"/>
          <w:szCs w:val="22"/>
          <w:lang w:val="en-US"/>
        </w:rPr>
        <w:t xml:space="preserve"> IPO. </w:t>
      </w:r>
      <w:r>
        <w:rPr>
          <w:sz w:val="22"/>
          <w:szCs w:val="22"/>
          <w:lang w:val="en-US"/>
        </w:rPr>
        <w:t xml:space="preserve"> I</w:t>
      </w:r>
      <w:r w:rsidRPr="00EB501D">
        <w:rPr>
          <w:sz w:val="22"/>
          <w:szCs w:val="22"/>
          <w:lang w:val="en-US"/>
        </w:rPr>
        <w:t xml:space="preserve">ntra-group financing </w:t>
      </w:r>
      <w:r>
        <w:rPr>
          <w:sz w:val="22"/>
          <w:szCs w:val="22"/>
          <w:lang w:val="en-US"/>
        </w:rPr>
        <w:t>in the Group of</w:t>
      </w:r>
      <w:r w:rsidRPr="00EB501D">
        <w:rPr>
          <w:sz w:val="22"/>
          <w:szCs w:val="22"/>
          <w:lang w:val="en-US"/>
        </w:rPr>
        <w:t xml:space="preserve"> the Fund</w:t>
      </w:r>
      <w:r>
        <w:rPr>
          <w:sz w:val="22"/>
          <w:szCs w:val="22"/>
          <w:lang w:val="en-US"/>
        </w:rPr>
        <w:t xml:space="preserve"> will be used as well.</w:t>
      </w:r>
    </w:p>
    <w:p w:rsidR="00A4597C" w:rsidRDefault="00A4597C" w:rsidP="002664E4">
      <w:pPr>
        <w:tabs>
          <w:tab w:val="left" w:pos="426"/>
          <w:tab w:val="left" w:pos="993"/>
        </w:tabs>
        <w:autoSpaceDE w:val="0"/>
        <w:autoSpaceDN w:val="0"/>
        <w:adjustRightInd w:val="0"/>
        <w:ind w:left="-709" w:firstLine="709"/>
        <w:jc w:val="both"/>
        <w:rPr>
          <w:rStyle w:val="FontStyle75"/>
          <w:rFonts w:eastAsiaTheme="minorEastAsia"/>
          <w:lang w:val="en-US"/>
        </w:rPr>
      </w:pPr>
      <w:r w:rsidRPr="00A4597C">
        <w:rPr>
          <w:rStyle w:val="FontStyle75"/>
          <w:rFonts w:eastAsiaTheme="minorEastAsia"/>
          <w:lang w:val="en-US"/>
        </w:rPr>
        <w:t>According to the Minutes of the meeting of the State Commission on the modernization of the econo</w:t>
      </w:r>
      <w:r>
        <w:rPr>
          <w:rStyle w:val="FontStyle75"/>
          <w:rFonts w:eastAsiaTheme="minorEastAsia"/>
          <w:lang w:val="en-US"/>
        </w:rPr>
        <w:t xml:space="preserve">my of Kazakhstan in April 2012 it was </w:t>
      </w:r>
      <w:r w:rsidRPr="00A4597C">
        <w:rPr>
          <w:rStyle w:val="FontStyle75"/>
          <w:rFonts w:eastAsiaTheme="minorEastAsia"/>
          <w:lang w:val="en-US"/>
        </w:rPr>
        <w:t xml:space="preserve">decided to re-use the funds provided by the National Fund of the Republic of Kazakhstan and the Republican budget in the amount of </w:t>
      </w:r>
      <w:r>
        <w:rPr>
          <w:rStyle w:val="FontStyle75"/>
          <w:rFonts w:eastAsiaTheme="minorEastAsia"/>
          <w:lang w:val="en-US"/>
        </w:rPr>
        <w:t xml:space="preserve">KZT </w:t>
      </w:r>
      <w:r w:rsidRPr="00A4597C">
        <w:rPr>
          <w:rStyle w:val="FontStyle75"/>
          <w:rFonts w:eastAsiaTheme="minorEastAsia"/>
          <w:lang w:val="en-US"/>
        </w:rPr>
        <w:t xml:space="preserve">352.1 billion </w:t>
      </w:r>
      <w:r w:rsidR="00CF6F55">
        <w:rPr>
          <w:rStyle w:val="FontStyle75"/>
          <w:rFonts w:eastAsiaTheme="minorEastAsia"/>
          <w:lang w:val="en-US"/>
        </w:rPr>
        <w:t>during</w:t>
      </w:r>
      <w:r w:rsidRPr="00A4597C">
        <w:rPr>
          <w:rStyle w:val="FontStyle75"/>
          <w:rFonts w:eastAsiaTheme="minorEastAsia"/>
          <w:lang w:val="en-US"/>
        </w:rPr>
        <w:t xml:space="preserve"> 2012-2013.</w:t>
      </w:r>
    </w:p>
    <w:p w:rsidR="003E4B66" w:rsidRPr="003E4B66" w:rsidRDefault="003E4B66" w:rsidP="003E4B66">
      <w:pPr>
        <w:tabs>
          <w:tab w:val="left" w:pos="426"/>
          <w:tab w:val="left" w:pos="993"/>
        </w:tabs>
        <w:autoSpaceDE w:val="0"/>
        <w:autoSpaceDN w:val="0"/>
        <w:adjustRightInd w:val="0"/>
        <w:ind w:left="-709" w:firstLine="709"/>
        <w:jc w:val="center"/>
        <w:rPr>
          <w:rStyle w:val="FontStyle75"/>
          <w:rFonts w:eastAsiaTheme="minorEastAsia"/>
          <w:b/>
          <w:lang w:val="en-US"/>
        </w:rPr>
      </w:pPr>
    </w:p>
    <w:p w:rsidR="002664E4" w:rsidRPr="009B5204" w:rsidRDefault="002664E4" w:rsidP="002664E4">
      <w:pPr>
        <w:ind w:left="-567" w:firstLine="567"/>
        <w:jc w:val="both"/>
        <w:rPr>
          <w:color w:val="000000"/>
          <w:sz w:val="22"/>
          <w:szCs w:val="22"/>
          <w:lang w:val="en-US"/>
        </w:rPr>
      </w:pPr>
      <w:r w:rsidRPr="009B5204">
        <w:rPr>
          <w:color w:val="000000"/>
          <w:sz w:val="22"/>
          <w:szCs w:val="22"/>
          <w:lang w:val="en-US"/>
        </w:rPr>
        <w:t xml:space="preserve"> “</w:t>
      </w:r>
      <w:r w:rsidRPr="009B5204">
        <w:rPr>
          <w:b/>
          <w:color w:val="000000"/>
          <w:sz w:val="22"/>
          <w:szCs w:val="22"/>
          <w:lang w:val="en-US"/>
        </w:rPr>
        <w:t>Oil &amp; Gas</w:t>
      </w:r>
      <w:r w:rsidRPr="009B5204">
        <w:rPr>
          <w:color w:val="000000"/>
          <w:sz w:val="22"/>
          <w:szCs w:val="22"/>
          <w:lang w:val="en-US"/>
        </w:rPr>
        <w:t xml:space="preserve">” </w:t>
      </w:r>
      <w:r>
        <w:rPr>
          <w:color w:val="000000"/>
          <w:sz w:val="22"/>
          <w:szCs w:val="22"/>
          <w:lang w:val="en-US"/>
        </w:rPr>
        <w:t xml:space="preserve">Segment includes one company </w:t>
      </w:r>
      <w:r w:rsidR="001E3A9A">
        <w:rPr>
          <w:b/>
          <w:color w:val="000000"/>
          <w:sz w:val="22"/>
          <w:szCs w:val="22"/>
          <w:lang w:val="en-US"/>
        </w:rPr>
        <w:t>JSC “NC “KazMunay</w:t>
      </w:r>
      <w:r>
        <w:rPr>
          <w:b/>
          <w:color w:val="000000"/>
          <w:sz w:val="22"/>
          <w:szCs w:val="22"/>
          <w:lang w:val="en-US"/>
        </w:rPr>
        <w:t>Gas”</w:t>
      </w:r>
      <w:r w:rsidRPr="009B5204">
        <w:rPr>
          <w:color w:val="000000"/>
          <w:sz w:val="22"/>
          <w:szCs w:val="22"/>
          <w:lang w:val="en-US"/>
        </w:rPr>
        <w:t>.</w:t>
      </w:r>
    </w:p>
    <w:p w:rsidR="002664E4" w:rsidRPr="009B5204" w:rsidRDefault="002643DC" w:rsidP="002664E4">
      <w:pPr>
        <w:tabs>
          <w:tab w:val="left" w:pos="426"/>
        </w:tabs>
        <w:autoSpaceDE w:val="0"/>
        <w:autoSpaceDN w:val="0"/>
        <w:adjustRightInd w:val="0"/>
        <w:ind w:left="-567" w:firstLine="567"/>
        <w:jc w:val="both"/>
        <w:rPr>
          <w:color w:val="000000"/>
          <w:sz w:val="22"/>
          <w:szCs w:val="22"/>
          <w:lang w:val="en-US"/>
        </w:rPr>
      </w:pPr>
      <w:r>
        <w:rPr>
          <w:color w:val="000000"/>
          <w:sz w:val="22"/>
          <w:szCs w:val="22"/>
          <w:lang w:val="en-US"/>
        </w:rPr>
        <w:t xml:space="preserve">The main activities </w:t>
      </w:r>
      <w:r w:rsidR="002664E4">
        <w:rPr>
          <w:color w:val="000000"/>
          <w:sz w:val="22"/>
          <w:szCs w:val="22"/>
          <w:lang w:val="en-US"/>
        </w:rPr>
        <w:t xml:space="preserve">of </w:t>
      </w:r>
      <w:r w:rsidR="001E3A9A" w:rsidRPr="001E3A9A">
        <w:rPr>
          <w:color w:val="000000"/>
          <w:sz w:val="22"/>
          <w:szCs w:val="22"/>
          <w:lang w:val="en-US"/>
        </w:rPr>
        <w:t>JSC “NC “KazMunayGas”</w:t>
      </w:r>
      <w:r w:rsidR="001E3A9A" w:rsidRPr="009B5204">
        <w:rPr>
          <w:color w:val="000000"/>
          <w:sz w:val="22"/>
          <w:szCs w:val="22"/>
          <w:lang w:val="en-US"/>
        </w:rPr>
        <w:t xml:space="preserve"> (</w:t>
      </w:r>
      <w:r w:rsidR="001E3A9A">
        <w:rPr>
          <w:color w:val="000000"/>
          <w:sz w:val="22"/>
          <w:szCs w:val="22"/>
          <w:lang w:val="en-US"/>
        </w:rPr>
        <w:t>hereinafter</w:t>
      </w:r>
      <w:r w:rsidR="001E3A9A" w:rsidRPr="009B5204">
        <w:rPr>
          <w:color w:val="000000"/>
          <w:sz w:val="22"/>
          <w:szCs w:val="22"/>
          <w:lang w:val="en-US"/>
        </w:rPr>
        <w:t xml:space="preserve"> –</w:t>
      </w:r>
      <w:r w:rsidR="001E3A9A">
        <w:rPr>
          <w:color w:val="000000"/>
          <w:sz w:val="22"/>
          <w:szCs w:val="22"/>
          <w:lang w:val="en-US"/>
        </w:rPr>
        <w:t xml:space="preserve"> the KMG</w:t>
      </w:r>
      <w:r w:rsidR="001E3A9A" w:rsidRPr="009B5204">
        <w:rPr>
          <w:color w:val="000000"/>
          <w:sz w:val="22"/>
          <w:szCs w:val="22"/>
          <w:lang w:val="en-US"/>
        </w:rPr>
        <w:t>)</w:t>
      </w:r>
      <w:r w:rsidR="001E3A9A">
        <w:rPr>
          <w:color w:val="000000"/>
          <w:sz w:val="22"/>
          <w:szCs w:val="22"/>
          <w:lang w:val="en-US"/>
        </w:rPr>
        <w:t xml:space="preserve"> </w:t>
      </w:r>
      <w:r w:rsidR="002664E4">
        <w:rPr>
          <w:color w:val="000000"/>
          <w:sz w:val="22"/>
          <w:szCs w:val="22"/>
          <w:lang w:val="en-US"/>
        </w:rPr>
        <w:t xml:space="preserve">are </w:t>
      </w:r>
      <w:r w:rsidR="002664E4" w:rsidRPr="009B5204">
        <w:rPr>
          <w:color w:val="000000"/>
          <w:sz w:val="22"/>
          <w:szCs w:val="22"/>
          <w:lang w:val="en-US"/>
        </w:rPr>
        <w:t xml:space="preserve">involvement in public policy in the oil and gas industry, the representation of state interests in contracts for subsoil use, through equity participation in contracts, corporate governance and issues of exploration, development, production, processing, sale and transportation of hydrocarbons, design, construction and operation of </w:t>
      </w:r>
      <w:r w:rsidR="002664E4">
        <w:rPr>
          <w:color w:val="000000"/>
          <w:sz w:val="22"/>
          <w:szCs w:val="22"/>
          <w:lang w:val="en-US"/>
        </w:rPr>
        <w:t xml:space="preserve">oil </w:t>
      </w:r>
      <w:r w:rsidR="002664E4" w:rsidRPr="009B5204">
        <w:rPr>
          <w:color w:val="000000"/>
          <w:sz w:val="22"/>
          <w:szCs w:val="22"/>
          <w:lang w:val="en-US"/>
        </w:rPr>
        <w:t xml:space="preserve">and gas pipelines and oil and gas infrastructure. The structure of the </w:t>
      </w:r>
      <w:r w:rsidR="002664E4">
        <w:rPr>
          <w:color w:val="000000"/>
          <w:sz w:val="22"/>
          <w:szCs w:val="22"/>
          <w:lang w:val="en-US"/>
        </w:rPr>
        <w:t>KMG</w:t>
      </w:r>
      <w:r w:rsidR="001E3A9A">
        <w:rPr>
          <w:color w:val="000000"/>
          <w:sz w:val="22"/>
          <w:szCs w:val="22"/>
          <w:lang w:val="en-US"/>
        </w:rPr>
        <w:t xml:space="preserve"> consists of 21</w:t>
      </w:r>
      <w:r w:rsidR="00B5727B" w:rsidRPr="00825FCA">
        <w:rPr>
          <w:color w:val="000000"/>
          <w:sz w:val="22"/>
          <w:szCs w:val="22"/>
          <w:lang w:val="en-US"/>
        </w:rPr>
        <w:t>0</w:t>
      </w:r>
      <w:r w:rsidR="002664E4" w:rsidRPr="009B5204">
        <w:rPr>
          <w:color w:val="000000"/>
          <w:sz w:val="22"/>
          <w:szCs w:val="22"/>
          <w:lang w:val="en-US"/>
        </w:rPr>
        <w:t xml:space="preserve"> companies in </w:t>
      </w:r>
      <w:r w:rsidR="00A86CCE">
        <w:rPr>
          <w:color w:val="000000"/>
          <w:sz w:val="22"/>
          <w:szCs w:val="22"/>
          <w:lang w:val="en-US"/>
        </w:rPr>
        <w:t>7</w:t>
      </w:r>
      <w:r w:rsidR="002664E4" w:rsidRPr="009B5204">
        <w:rPr>
          <w:color w:val="000000"/>
          <w:sz w:val="22"/>
          <w:szCs w:val="22"/>
          <w:lang w:val="en-US"/>
        </w:rPr>
        <w:t xml:space="preserve"> levels.</w:t>
      </w:r>
    </w:p>
    <w:p w:rsidR="002664E4" w:rsidRDefault="00CF6F55" w:rsidP="002664E4">
      <w:pPr>
        <w:tabs>
          <w:tab w:val="left" w:pos="426"/>
        </w:tabs>
        <w:autoSpaceDE w:val="0"/>
        <w:autoSpaceDN w:val="0"/>
        <w:adjustRightInd w:val="0"/>
        <w:ind w:left="-567" w:firstLine="567"/>
        <w:jc w:val="both"/>
        <w:rPr>
          <w:color w:val="000000"/>
          <w:sz w:val="22"/>
          <w:szCs w:val="22"/>
          <w:lang w:val="en-US"/>
        </w:rPr>
      </w:pPr>
      <w:r w:rsidRPr="009B5204">
        <w:rPr>
          <w:color w:val="000000"/>
          <w:sz w:val="22"/>
          <w:szCs w:val="22"/>
          <w:lang w:val="en-US"/>
        </w:rPr>
        <w:t xml:space="preserve">In the Republic of Kazakhstan during </w:t>
      </w:r>
      <w:r>
        <w:rPr>
          <w:color w:val="000000"/>
          <w:sz w:val="22"/>
          <w:szCs w:val="22"/>
          <w:lang w:val="en-US"/>
        </w:rPr>
        <w:t xml:space="preserve">H1 </w:t>
      </w:r>
      <w:r w:rsidR="001E3A9A">
        <w:rPr>
          <w:color w:val="000000"/>
          <w:sz w:val="22"/>
          <w:szCs w:val="22"/>
          <w:lang w:val="en-US"/>
        </w:rPr>
        <w:t>2012</w:t>
      </w:r>
      <w:r w:rsidR="002664E4" w:rsidRPr="009B5204">
        <w:rPr>
          <w:color w:val="000000"/>
          <w:sz w:val="22"/>
          <w:szCs w:val="22"/>
          <w:lang w:val="en-US"/>
        </w:rPr>
        <w:t xml:space="preserve"> </w:t>
      </w:r>
      <w:r w:rsidR="002664E4">
        <w:rPr>
          <w:color w:val="000000"/>
          <w:sz w:val="22"/>
          <w:szCs w:val="22"/>
          <w:lang w:val="en-US"/>
        </w:rPr>
        <w:t xml:space="preserve">it </w:t>
      </w:r>
      <w:r w:rsidR="002664E4" w:rsidRPr="009B5204">
        <w:rPr>
          <w:color w:val="000000"/>
          <w:sz w:val="22"/>
          <w:szCs w:val="22"/>
          <w:lang w:val="en-US"/>
        </w:rPr>
        <w:t xml:space="preserve">was produced about </w:t>
      </w:r>
      <w:r w:rsidR="001E3A9A">
        <w:rPr>
          <w:color w:val="000000"/>
          <w:sz w:val="22"/>
          <w:szCs w:val="22"/>
          <w:lang w:val="en-US"/>
        </w:rPr>
        <w:t>39.7</w:t>
      </w:r>
      <w:r w:rsidR="002664E4" w:rsidRPr="009B5204">
        <w:rPr>
          <w:color w:val="000000"/>
          <w:sz w:val="22"/>
          <w:szCs w:val="22"/>
          <w:lang w:val="en-US"/>
        </w:rPr>
        <w:t xml:space="preserve"> million tons of crude oil, refined </w:t>
      </w:r>
      <w:r w:rsidR="001E3A9A">
        <w:rPr>
          <w:color w:val="000000"/>
          <w:sz w:val="22"/>
          <w:szCs w:val="22"/>
          <w:lang w:val="en-US"/>
        </w:rPr>
        <w:t>–</w:t>
      </w:r>
      <w:r w:rsidR="002664E4" w:rsidRPr="009B5204">
        <w:rPr>
          <w:color w:val="000000"/>
          <w:sz w:val="22"/>
          <w:szCs w:val="22"/>
          <w:lang w:val="en-US"/>
        </w:rPr>
        <w:t xml:space="preserve"> </w:t>
      </w:r>
      <w:r w:rsidR="001E3A9A">
        <w:rPr>
          <w:color w:val="000000"/>
          <w:sz w:val="22"/>
          <w:szCs w:val="22"/>
          <w:lang w:val="en-US"/>
        </w:rPr>
        <w:t>7.2</w:t>
      </w:r>
      <w:r w:rsidR="002664E4" w:rsidRPr="009B5204">
        <w:rPr>
          <w:color w:val="000000"/>
          <w:sz w:val="22"/>
          <w:szCs w:val="22"/>
          <w:lang w:val="en-US"/>
        </w:rPr>
        <w:t xml:space="preserve"> million tons of oil. </w:t>
      </w:r>
      <w:r w:rsidR="002664E4">
        <w:rPr>
          <w:color w:val="000000"/>
          <w:sz w:val="22"/>
          <w:szCs w:val="22"/>
          <w:lang w:val="en-US"/>
        </w:rPr>
        <w:t>As c</w:t>
      </w:r>
      <w:r w:rsidR="002664E4" w:rsidRPr="009B5204">
        <w:rPr>
          <w:color w:val="000000"/>
          <w:sz w:val="22"/>
          <w:szCs w:val="22"/>
          <w:lang w:val="en-US"/>
        </w:rPr>
        <w:t xml:space="preserve">ompared </w:t>
      </w:r>
      <w:r w:rsidR="002664E4">
        <w:rPr>
          <w:color w:val="000000"/>
          <w:sz w:val="22"/>
          <w:szCs w:val="22"/>
          <w:lang w:val="en-US"/>
        </w:rPr>
        <w:t>with the</w:t>
      </w:r>
      <w:r w:rsidR="002664E4" w:rsidRPr="009B5204">
        <w:rPr>
          <w:color w:val="000000"/>
          <w:sz w:val="22"/>
          <w:szCs w:val="22"/>
          <w:lang w:val="en-US"/>
        </w:rPr>
        <w:t xml:space="preserve"> last year the oil production was </w:t>
      </w:r>
      <w:r w:rsidR="001E3A9A">
        <w:rPr>
          <w:color w:val="000000"/>
          <w:sz w:val="22"/>
          <w:szCs w:val="22"/>
          <w:lang w:val="en-US"/>
        </w:rPr>
        <w:t>98.5%, while the</w:t>
      </w:r>
      <w:r w:rsidR="002664E4" w:rsidRPr="009B5204">
        <w:rPr>
          <w:color w:val="000000"/>
          <w:sz w:val="22"/>
          <w:szCs w:val="22"/>
          <w:lang w:val="en-US"/>
        </w:rPr>
        <w:t xml:space="preserve"> oil refining </w:t>
      </w:r>
      <w:r w:rsidR="001E3A9A">
        <w:rPr>
          <w:color w:val="000000"/>
          <w:sz w:val="22"/>
          <w:szCs w:val="22"/>
          <w:lang w:val="en-US"/>
        </w:rPr>
        <w:t>–</w:t>
      </w:r>
      <w:r w:rsidR="002664E4" w:rsidRPr="009B5204">
        <w:rPr>
          <w:color w:val="000000"/>
          <w:sz w:val="22"/>
          <w:szCs w:val="22"/>
          <w:lang w:val="en-US"/>
        </w:rPr>
        <w:t xml:space="preserve"> </w:t>
      </w:r>
      <w:r w:rsidR="001E3A9A">
        <w:rPr>
          <w:color w:val="000000"/>
          <w:sz w:val="22"/>
          <w:szCs w:val="22"/>
          <w:lang w:val="en-US"/>
        </w:rPr>
        <w:t>110.9</w:t>
      </w:r>
      <w:r w:rsidR="002664E4" w:rsidRPr="009B5204">
        <w:rPr>
          <w:color w:val="000000"/>
          <w:sz w:val="22"/>
          <w:szCs w:val="22"/>
          <w:lang w:val="en-US"/>
        </w:rPr>
        <w:t xml:space="preserve">%. The share of </w:t>
      </w:r>
      <w:r w:rsidR="002664E4">
        <w:rPr>
          <w:color w:val="000000"/>
          <w:sz w:val="22"/>
          <w:szCs w:val="22"/>
          <w:lang w:val="en-US"/>
        </w:rPr>
        <w:t xml:space="preserve">the KMG in the </w:t>
      </w:r>
      <w:r w:rsidR="002664E4" w:rsidRPr="009B5204">
        <w:rPr>
          <w:color w:val="000000"/>
          <w:sz w:val="22"/>
          <w:szCs w:val="22"/>
          <w:lang w:val="en-US"/>
        </w:rPr>
        <w:t>total</w:t>
      </w:r>
      <w:r w:rsidR="002664E4">
        <w:rPr>
          <w:color w:val="000000"/>
          <w:sz w:val="22"/>
          <w:szCs w:val="22"/>
          <w:lang w:val="en-US"/>
        </w:rPr>
        <w:t xml:space="preserve"> production of </w:t>
      </w:r>
      <w:r w:rsidR="002664E4" w:rsidRPr="009B5204">
        <w:rPr>
          <w:color w:val="000000"/>
          <w:sz w:val="22"/>
          <w:szCs w:val="22"/>
          <w:lang w:val="en-US"/>
        </w:rPr>
        <w:t xml:space="preserve">oil and gas condensate in Kazakhstan </w:t>
      </w:r>
      <w:r w:rsidRPr="009B5204">
        <w:rPr>
          <w:color w:val="000000"/>
          <w:sz w:val="22"/>
          <w:szCs w:val="22"/>
          <w:lang w:val="en-US"/>
        </w:rPr>
        <w:t xml:space="preserve">in </w:t>
      </w:r>
      <w:r>
        <w:rPr>
          <w:color w:val="000000"/>
          <w:sz w:val="22"/>
          <w:szCs w:val="22"/>
          <w:lang w:val="en-US"/>
        </w:rPr>
        <w:t xml:space="preserve">H1 </w:t>
      </w:r>
      <w:r w:rsidR="001E3A9A">
        <w:rPr>
          <w:color w:val="000000"/>
          <w:sz w:val="22"/>
          <w:szCs w:val="22"/>
          <w:lang w:val="en-US"/>
        </w:rPr>
        <w:lastRenderedPageBreak/>
        <w:t>2012</w:t>
      </w:r>
      <w:r w:rsidR="001E3A9A" w:rsidRPr="009B5204">
        <w:rPr>
          <w:color w:val="000000"/>
          <w:sz w:val="22"/>
          <w:szCs w:val="22"/>
          <w:lang w:val="en-US"/>
        </w:rPr>
        <w:t xml:space="preserve"> </w:t>
      </w:r>
      <w:r w:rsidR="002664E4">
        <w:rPr>
          <w:color w:val="000000"/>
          <w:sz w:val="22"/>
          <w:szCs w:val="22"/>
          <w:lang w:val="en-US"/>
        </w:rPr>
        <w:t xml:space="preserve">has </w:t>
      </w:r>
      <w:r w:rsidR="002664E4" w:rsidRPr="009B5204">
        <w:rPr>
          <w:color w:val="000000"/>
          <w:sz w:val="22"/>
          <w:szCs w:val="22"/>
          <w:lang w:val="en-US"/>
        </w:rPr>
        <w:t xml:space="preserve">decreased from </w:t>
      </w:r>
      <w:r w:rsidR="001E3A9A">
        <w:rPr>
          <w:color w:val="000000"/>
          <w:sz w:val="22"/>
          <w:szCs w:val="22"/>
          <w:lang w:val="en-US"/>
        </w:rPr>
        <w:t>22.3</w:t>
      </w:r>
      <w:r w:rsidR="002664E4" w:rsidRPr="009B5204">
        <w:rPr>
          <w:color w:val="000000"/>
          <w:sz w:val="22"/>
          <w:szCs w:val="22"/>
          <w:lang w:val="en-US"/>
        </w:rPr>
        <w:t xml:space="preserve">% to </w:t>
      </w:r>
      <w:r w:rsidR="001E3A9A">
        <w:rPr>
          <w:color w:val="000000"/>
          <w:sz w:val="22"/>
          <w:szCs w:val="22"/>
          <w:lang w:val="en-US"/>
        </w:rPr>
        <w:t>21.9</w:t>
      </w:r>
      <w:r w:rsidR="002664E4" w:rsidRPr="009B5204">
        <w:rPr>
          <w:color w:val="000000"/>
          <w:sz w:val="22"/>
          <w:szCs w:val="22"/>
          <w:lang w:val="en-US"/>
        </w:rPr>
        <w:t>%</w:t>
      </w:r>
      <w:proofErr w:type="gramStart"/>
      <w:r w:rsidR="002664E4" w:rsidRPr="009B5204">
        <w:rPr>
          <w:color w:val="000000"/>
          <w:sz w:val="22"/>
          <w:szCs w:val="22"/>
          <w:lang w:val="en-US"/>
        </w:rPr>
        <w:t>,</w:t>
      </w:r>
      <w:proofErr w:type="gramEnd"/>
      <w:r w:rsidR="002664E4" w:rsidRPr="009B5204">
        <w:rPr>
          <w:color w:val="000000"/>
          <w:sz w:val="22"/>
          <w:szCs w:val="22"/>
          <w:lang w:val="en-US"/>
        </w:rPr>
        <w:t xml:space="preserve"> oil processing </w:t>
      </w:r>
      <w:r w:rsidR="001E3A9A">
        <w:rPr>
          <w:color w:val="000000"/>
          <w:sz w:val="22"/>
          <w:szCs w:val="22"/>
          <w:lang w:val="en-US"/>
        </w:rPr>
        <w:t>has in</w:t>
      </w:r>
      <w:r w:rsidR="001E3A9A" w:rsidRPr="009B5204">
        <w:rPr>
          <w:color w:val="000000"/>
          <w:sz w:val="22"/>
          <w:szCs w:val="22"/>
          <w:lang w:val="en-US"/>
        </w:rPr>
        <w:t xml:space="preserve">creased </w:t>
      </w:r>
      <w:r w:rsidR="002664E4" w:rsidRPr="009B5204">
        <w:rPr>
          <w:color w:val="000000"/>
          <w:sz w:val="22"/>
          <w:szCs w:val="22"/>
          <w:lang w:val="en-US"/>
        </w:rPr>
        <w:t xml:space="preserve">from </w:t>
      </w:r>
      <w:r w:rsidR="001E3A9A">
        <w:rPr>
          <w:color w:val="000000"/>
          <w:sz w:val="22"/>
          <w:szCs w:val="22"/>
          <w:lang w:val="en-US"/>
        </w:rPr>
        <w:t>81.4</w:t>
      </w:r>
      <w:r w:rsidR="002664E4" w:rsidRPr="009B5204">
        <w:rPr>
          <w:color w:val="000000"/>
          <w:sz w:val="22"/>
          <w:szCs w:val="22"/>
          <w:lang w:val="en-US"/>
        </w:rPr>
        <w:t xml:space="preserve">% to </w:t>
      </w:r>
      <w:r w:rsidR="001E3A9A">
        <w:rPr>
          <w:color w:val="000000"/>
          <w:sz w:val="22"/>
          <w:szCs w:val="22"/>
          <w:lang w:val="en-US"/>
        </w:rPr>
        <w:t>82.7</w:t>
      </w:r>
      <w:r w:rsidR="002664E4" w:rsidRPr="009B5204">
        <w:rPr>
          <w:color w:val="000000"/>
          <w:sz w:val="22"/>
          <w:szCs w:val="22"/>
          <w:lang w:val="en-US"/>
        </w:rPr>
        <w:t>%</w:t>
      </w:r>
      <w:r w:rsidR="002664E4">
        <w:rPr>
          <w:color w:val="000000"/>
          <w:sz w:val="22"/>
          <w:szCs w:val="22"/>
          <w:lang w:val="en-US"/>
        </w:rPr>
        <w:t xml:space="preserve">, </w:t>
      </w:r>
      <w:r w:rsidR="002664E4" w:rsidRPr="009B5204">
        <w:rPr>
          <w:color w:val="000000"/>
          <w:sz w:val="22"/>
          <w:szCs w:val="22"/>
          <w:lang w:val="en-US"/>
        </w:rPr>
        <w:t>in oil export</w:t>
      </w:r>
      <w:r w:rsidR="001E3A9A">
        <w:rPr>
          <w:color w:val="000000"/>
          <w:sz w:val="22"/>
          <w:szCs w:val="22"/>
          <w:lang w:val="en-US"/>
        </w:rPr>
        <w:t xml:space="preserve"> of group of companies of KMG of the total export</w:t>
      </w:r>
      <w:r w:rsidR="002664E4" w:rsidRPr="009B5204">
        <w:rPr>
          <w:color w:val="000000"/>
          <w:sz w:val="22"/>
          <w:szCs w:val="22"/>
          <w:lang w:val="en-US"/>
        </w:rPr>
        <w:t xml:space="preserve"> increased from </w:t>
      </w:r>
      <w:r w:rsidR="001E3A9A">
        <w:rPr>
          <w:color w:val="000000"/>
          <w:sz w:val="22"/>
          <w:szCs w:val="22"/>
          <w:lang w:val="en-US"/>
        </w:rPr>
        <w:t>22.2</w:t>
      </w:r>
      <w:r w:rsidR="002664E4" w:rsidRPr="009B5204">
        <w:rPr>
          <w:color w:val="000000"/>
          <w:sz w:val="22"/>
          <w:szCs w:val="22"/>
          <w:lang w:val="en-US"/>
        </w:rPr>
        <w:t xml:space="preserve">% to </w:t>
      </w:r>
      <w:r w:rsidR="001E3A9A">
        <w:rPr>
          <w:color w:val="000000"/>
          <w:sz w:val="22"/>
          <w:szCs w:val="22"/>
          <w:lang w:val="en-US"/>
        </w:rPr>
        <w:t>26.2</w:t>
      </w:r>
      <w:r w:rsidR="002664E4" w:rsidRPr="009B5204">
        <w:rPr>
          <w:color w:val="000000"/>
          <w:sz w:val="22"/>
          <w:szCs w:val="22"/>
          <w:lang w:val="en-US"/>
        </w:rPr>
        <w:t>%.</w:t>
      </w:r>
    </w:p>
    <w:p w:rsidR="002664E4" w:rsidRPr="009B5204" w:rsidRDefault="002664E4" w:rsidP="002664E4">
      <w:pPr>
        <w:tabs>
          <w:tab w:val="left" w:pos="426"/>
        </w:tabs>
        <w:autoSpaceDE w:val="0"/>
        <w:autoSpaceDN w:val="0"/>
        <w:adjustRightInd w:val="0"/>
        <w:ind w:left="-567" w:firstLine="567"/>
        <w:jc w:val="both"/>
        <w:rPr>
          <w:color w:val="000000"/>
          <w:sz w:val="22"/>
          <w:szCs w:val="22"/>
          <w:lang w:val="en-US"/>
        </w:rPr>
      </w:pPr>
      <w:r>
        <w:rPr>
          <w:color w:val="000000"/>
          <w:sz w:val="22"/>
          <w:szCs w:val="22"/>
          <w:lang w:val="en-US"/>
        </w:rPr>
        <w:t xml:space="preserve"> The </w:t>
      </w:r>
      <w:r w:rsidRPr="009B5204">
        <w:rPr>
          <w:b/>
          <w:color w:val="000000"/>
          <w:sz w:val="22"/>
          <w:szCs w:val="22"/>
          <w:lang w:val="en-US"/>
        </w:rPr>
        <w:t>following important events</w:t>
      </w:r>
      <w:r>
        <w:rPr>
          <w:color w:val="000000"/>
          <w:sz w:val="22"/>
          <w:szCs w:val="22"/>
          <w:lang w:val="en-US"/>
        </w:rPr>
        <w:t xml:space="preserve"> happened in KMG </w:t>
      </w:r>
      <w:r w:rsidR="00CF6F55">
        <w:rPr>
          <w:color w:val="000000"/>
          <w:sz w:val="22"/>
          <w:szCs w:val="22"/>
          <w:lang w:val="en-US"/>
        </w:rPr>
        <w:t xml:space="preserve">during H1 </w:t>
      </w:r>
      <w:r w:rsidR="001E3A9A">
        <w:rPr>
          <w:color w:val="000000"/>
          <w:sz w:val="22"/>
          <w:szCs w:val="22"/>
          <w:lang w:val="en-US"/>
        </w:rPr>
        <w:t>2012</w:t>
      </w:r>
      <w:r w:rsidRPr="009B5204">
        <w:rPr>
          <w:color w:val="000000"/>
          <w:sz w:val="22"/>
          <w:szCs w:val="22"/>
          <w:lang w:val="en-US"/>
        </w:rPr>
        <w:t xml:space="preserve">. </w:t>
      </w:r>
    </w:p>
    <w:p w:rsidR="001552F8"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1) The Board of Directors of JSC </w:t>
      </w:r>
      <w:r w:rsidR="00096732">
        <w:rPr>
          <w:color w:val="000000"/>
          <w:sz w:val="22"/>
          <w:szCs w:val="22"/>
          <w:lang w:val="en-US"/>
        </w:rPr>
        <w:t>“ E&amp;P</w:t>
      </w:r>
      <w:r w:rsidRPr="001552F8">
        <w:rPr>
          <w:color w:val="000000"/>
          <w:sz w:val="22"/>
          <w:szCs w:val="22"/>
          <w:lang w:val="en-US"/>
        </w:rPr>
        <w:t xml:space="preserve"> </w:t>
      </w:r>
      <w:r w:rsidR="00096732">
        <w:rPr>
          <w:color w:val="000000"/>
          <w:sz w:val="22"/>
          <w:szCs w:val="22"/>
          <w:lang w:val="en-US"/>
        </w:rPr>
        <w:t>“KazMunay</w:t>
      </w:r>
      <w:r w:rsidRPr="001552F8">
        <w:rPr>
          <w:color w:val="000000"/>
          <w:sz w:val="22"/>
          <w:szCs w:val="22"/>
          <w:lang w:val="en-US"/>
        </w:rPr>
        <w:t>Gas</w:t>
      </w:r>
      <w:r w:rsidR="00096732">
        <w:rPr>
          <w:color w:val="000000"/>
          <w:sz w:val="22"/>
          <w:szCs w:val="22"/>
          <w:lang w:val="en-US"/>
        </w:rPr>
        <w:t xml:space="preserve">” </w:t>
      </w:r>
      <w:r w:rsidRPr="001552F8">
        <w:rPr>
          <w:color w:val="000000"/>
          <w:sz w:val="22"/>
          <w:szCs w:val="22"/>
          <w:lang w:val="en-US"/>
        </w:rPr>
        <w:t xml:space="preserve">(hereinafter </w:t>
      </w:r>
      <w:r w:rsidR="00096732">
        <w:rPr>
          <w:color w:val="000000"/>
          <w:sz w:val="22"/>
          <w:szCs w:val="22"/>
          <w:lang w:val="en-US"/>
        </w:rPr>
        <w:t>–</w:t>
      </w:r>
      <w:r w:rsidRPr="001552F8">
        <w:rPr>
          <w:color w:val="000000"/>
          <w:sz w:val="22"/>
          <w:szCs w:val="22"/>
          <w:lang w:val="en-US"/>
        </w:rPr>
        <w:t xml:space="preserve"> </w:t>
      </w:r>
      <w:r w:rsidR="00096732">
        <w:rPr>
          <w:color w:val="000000"/>
          <w:sz w:val="22"/>
          <w:szCs w:val="22"/>
          <w:lang w:val="en-US"/>
        </w:rPr>
        <w:t xml:space="preserve">E&amp;P </w:t>
      </w:r>
      <w:r w:rsidRPr="001552F8">
        <w:rPr>
          <w:color w:val="000000"/>
          <w:sz w:val="22"/>
          <w:szCs w:val="22"/>
          <w:lang w:val="en-US"/>
        </w:rPr>
        <w:t xml:space="preserve">KMG) agreed on the need to transform the production branches </w:t>
      </w:r>
      <w:r w:rsidR="00096732">
        <w:rPr>
          <w:color w:val="000000"/>
          <w:sz w:val="22"/>
          <w:szCs w:val="22"/>
          <w:lang w:val="en-US"/>
        </w:rPr>
        <w:t>of “</w:t>
      </w:r>
      <w:r w:rsidRPr="001552F8">
        <w:rPr>
          <w:color w:val="000000"/>
          <w:sz w:val="22"/>
          <w:szCs w:val="22"/>
          <w:lang w:val="en-US"/>
        </w:rPr>
        <w:t>UMG</w:t>
      </w:r>
      <w:r w:rsidR="00096732">
        <w:rPr>
          <w:color w:val="000000"/>
          <w:sz w:val="22"/>
          <w:szCs w:val="22"/>
          <w:lang w:val="en-US"/>
        </w:rPr>
        <w:t xml:space="preserve">” </w:t>
      </w:r>
      <w:r w:rsidRPr="001552F8">
        <w:rPr>
          <w:color w:val="000000"/>
          <w:sz w:val="22"/>
          <w:szCs w:val="22"/>
          <w:lang w:val="en-US"/>
        </w:rPr>
        <w:t xml:space="preserve">and </w:t>
      </w:r>
      <w:r w:rsidR="00096732">
        <w:rPr>
          <w:color w:val="000000"/>
          <w:sz w:val="22"/>
          <w:szCs w:val="22"/>
          <w:lang w:val="en-US"/>
        </w:rPr>
        <w:t>“EMG” in</w:t>
      </w:r>
      <w:r w:rsidRPr="001552F8">
        <w:rPr>
          <w:color w:val="000000"/>
          <w:sz w:val="22"/>
          <w:szCs w:val="22"/>
          <w:lang w:val="en-US"/>
        </w:rPr>
        <w:t xml:space="preserve">to joint stock companies, 100% owned by </w:t>
      </w:r>
      <w:r w:rsidR="00096732">
        <w:rPr>
          <w:color w:val="000000"/>
          <w:sz w:val="22"/>
          <w:szCs w:val="22"/>
          <w:lang w:val="en-US"/>
        </w:rPr>
        <w:t xml:space="preserve">E&amp;P </w:t>
      </w:r>
      <w:r w:rsidRPr="001552F8">
        <w:rPr>
          <w:color w:val="000000"/>
          <w:sz w:val="22"/>
          <w:szCs w:val="22"/>
          <w:lang w:val="en-US"/>
        </w:rPr>
        <w:t>KMG;</w:t>
      </w:r>
    </w:p>
    <w:p w:rsidR="001552F8" w:rsidRPr="001552F8" w:rsidRDefault="00096732" w:rsidP="00627857">
      <w:pPr>
        <w:tabs>
          <w:tab w:val="left" w:pos="426"/>
        </w:tabs>
        <w:autoSpaceDE w:val="0"/>
        <w:autoSpaceDN w:val="0"/>
        <w:adjustRightInd w:val="0"/>
        <w:ind w:left="-567" w:firstLine="567"/>
        <w:jc w:val="both"/>
        <w:rPr>
          <w:color w:val="000000"/>
          <w:sz w:val="22"/>
          <w:szCs w:val="22"/>
          <w:lang w:val="en-US"/>
        </w:rPr>
      </w:pPr>
      <w:r>
        <w:rPr>
          <w:color w:val="000000"/>
          <w:sz w:val="22"/>
          <w:szCs w:val="22"/>
          <w:lang w:val="en-US"/>
        </w:rPr>
        <w:t>2) JSC “</w:t>
      </w:r>
      <w:r w:rsidR="001552F8" w:rsidRPr="001552F8">
        <w:rPr>
          <w:color w:val="000000"/>
          <w:sz w:val="22"/>
          <w:szCs w:val="22"/>
          <w:lang w:val="en-US"/>
        </w:rPr>
        <w:t xml:space="preserve">NMSC </w:t>
      </w:r>
      <w:r>
        <w:rPr>
          <w:color w:val="000000"/>
          <w:sz w:val="22"/>
          <w:szCs w:val="22"/>
          <w:lang w:val="en-US"/>
        </w:rPr>
        <w:t>“</w:t>
      </w:r>
      <w:r w:rsidR="001552F8" w:rsidRPr="001552F8">
        <w:rPr>
          <w:color w:val="000000"/>
          <w:sz w:val="22"/>
          <w:szCs w:val="22"/>
          <w:lang w:val="en-US"/>
        </w:rPr>
        <w:t>Kazmortransflot</w:t>
      </w:r>
      <w:r>
        <w:rPr>
          <w:color w:val="000000"/>
          <w:sz w:val="22"/>
          <w:szCs w:val="22"/>
          <w:lang w:val="en-US"/>
        </w:rPr>
        <w:t xml:space="preserve">” </w:t>
      </w:r>
      <w:r w:rsidR="001552F8" w:rsidRPr="001552F8">
        <w:rPr>
          <w:color w:val="000000"/>
          <w:sz w:val="22"/>
          <w:szCs w:val="22"/>
          <w:lang w:val="en-US"/>
        </w:rPr>
        <w:t>(hereinafter - KMTF) began to transport Kazakh</w:t>
      </w:r>
      <w:r>
        <w:rPr>
          <w:color w:val="000000"/>
          <w:sz w:val="22"/>
          <w:szCs w:val="22"/>
          <w:lang w:val="en-US"/>
        </w:rPr>
        <w:t>stan</w:t>
      </w:r>
      <w:r w:rsidR="001552F8" w:rsidRPr="001552F8">
        <w:rPr>
          <w:color w:val="000000"/>
          <w:sz w:val="22"/>
          <w:szCs w:val="22"/>
          <w:lang w:val="en-US"/>
        </w:rPr>
        <w:t xml:space="preserve"> steel. </w:t>
      </w:r>
      <w:r>
        <w:rPr>
          <w:color w:val="000000"/>
          <w:sz w:val="22"/>
          <w:szCs w:val="22"/>
          <w:lang w:val="en-US"/>
        </w:rPr>
        <w:t xml:space="preserve">On </w:t>
      </w:r>
      <w:r w:rsidR="001552F8" w:rsidRPr="001552F8">
        <w:rPr>
          <w:color w:val="000000"/>
          <w:sz w:val="22"/>
          <w:szCs w:val="22"/>
          <w:lang w:val="en-US"/>
        </w:rPr>
        <w:t xml:space="preserve">April 26, 2012 the first batch of 5 thousand tons were shipped to the </w:t>
      </w:r>
      <w:r w:rsidRPr="001552F8">
        <w:rPr>
          <w:color w:val="000000"/>
          <w:sz w:val="22"/>
          <w:szCs w:val="22"/>
          <w:lang w:val="en-US"/>
        </w:rPr>
        <w:t xml:space="preserve">KMTF </w:t>
      </w:r>
      <w:r w:rsidR="001552F8" w:rsidRPr="001552F8">
        <w:rPr>
          <w:color w:val="000000"/>
          <w:sz w:val="22"/>
          <w:szCs w:val="22"/>
          <w:lang w:val="en-US"/>
        </w:rPr>
        <w:t xml:space="preserve">ship in the </w:t>
      </w:r>
      <w:proofErr w:type="spellStart"/>
      <w:r w:rsidRPr="001552F8">
        <w:rPr>
          <w:color w:val="000000"/>
          <w:sz w:val="22"/>
          <w:szCs w:val="22"/>
          <w:lang w:val="en-US"/>
        </w:rPr>
        <w:t>Aktau</w:t>
      </w:r>
      <w:proofErr w:type="spellEnd"/>
      <w:r w:rsidRPr="001552F8">
        <w:rPr>
          <w:color w:val="000000"/>
          <w:sz w:val="22"/>
          <w:szCs w:val="22"/>
          <w:lang w:val="en-US"/>
        </w:rPr>
        <w:t xml:space="preserve"> </w:t>
      </w:r>
      <w:r>
        <w:rPr>
          <w:color w:val="000000"/>
          <w:sz w:val="22"/>
          <w:szCs w:val="22"/>
          <w:lang w:val="en-US"/>
        </w:rPr>
        <w:t>port</w:t>
      </w:r>
      <w:r w:rsidR="001552F8" w:rsidRPr="001552F8">
        <w:rPr>
          <w:color w:val="000000"/>
          <w:sz w:val="22"/>
          <w:szCs w:val="22"/>
          <w:lang w:val="en-US"/>
        </w:rPr>
        <w:t xml:space="preserve"> for transportation to the port of </w:t>
      </w:r>
      <w:proofErr w:type="spellStart"/>
      <w:r w:rsidR="001552F8" w:rsidRPr="001552F8">
        <w:rPr>
          <w:color w:val="000000"/>
          <w:sz w:val="22"/>
          <w:szCs w:val="22"/>
          <w:lang w:val="en-US"/>
        </w:rPr>
        <w:t>Anzali</w:t>
      </w:r>
      <w:proofErr w:type="spellEnd"/>
      <w:r w:rsidR="001552F8" w:rsidRPr="001552F8">
        <w:rPr>
          <w:color w:val="000000"/>
          <w:sz w:val="22"/>
          <w:szCs w:val="22"/>
          <w:lang w:val="en-US"/>
        </w:rPr>
        <w:t xml:space="preserve"> (Iran);</w:t>
      </w:r>
    </w:p>
    <w:p w:rsidR="001552F8"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3) </w:t>
      </w:r>
      <w:r w:rsidR="00096732">
        <w:rPr>
          <w:color w:val="000000"/>
          <w:sz w:val="22"/>
          <w:szCs w:val="22"/>
          <w:lang w:val="en-US"/>
        </w:rPr>
        <w:t>“</w:t>
      </w:r>
      <w:r w:rsidRPr="001552F8">
        <w:rPr>
          <w:color w:val="000000"/>
          <w:sz w:val="22"/>
          <w:szCs w:val="22"/>
          <w:lang w:val="en-US"/>
        </w:rPr>
        <w:t>Atyrau Refinery</w:t>
      </w:r>
      <w:r w:rsidR="00096732">
        <w:rPr>
          <w:color w:val="000000"/>
          <w:sz w:val="22"/>
          <w:szCs w:val="22"/>
          <w:lang w:val="en-US"/>
        </w:rPr>
        <w:t>”</w:t>
      </w:r>
      <w:r w:rsidRPr="001552F8">
        <w:rPr>
          <w:color w:val="000000"/>
          <w:sz w:val="22"/>
          <w:szCs w:val="22"/>
          <w:lang w:val="en-US"/>
        </w:rPr>
        <w:t xml:space="preserve"> </w:t>
      </w:r>
      <w:r w:rsidR="00096732" w:rsidRPr="001552F8">
        <w:rPr>
          <w:color w:val="000000"/>
          <w:sz w:val="22"/>
          <w:szCs w:val="22"/>
          <w:lang w:val="en-US"/>
        </w:rPr>
        <w:t xml:space="preserve">LLP </w:t>
      </w:r>
      <w:r w:rsidR="00096732">
        <w:rPr>
          <w:color w:val="000000"/>
          <w:sz w:val="22"/>
          <w:szCs w:val="22"/>
          <w:lang w:val="en-US"/>
        </w:rPr>
        <w:t>(hereinafter - A</w:t>
      </w:r>
      <w:r w:rsidRPr="001552F8">
        <w:rPr>
          <w:color w:val="000000"/>
          <w:sz w:val="22"/>
          <w:szCs w:val="22"/>
          <w:lang w:val="en-US"/>
        </w:rPr>
        <w:t>R) has signed a loan agreement with the Export-Import Bank of China for the construction of a deep oil refining</w:t>
      </w:r>
      <w:r w:rsidR="00096732">
        <w:rPr>
          <w:color w:val="000000"/>
          <w:sz w:val="22"/>
          <w:szCs w:val="22"/>
          <w:lang w:val="en-US"/>
        </w:rPr>
        <w:t xml:space="preserve"> facility</w:t>
      </w:r>
      <w:r w:rsidRPr="001552F8">
        <w:rPr>
          <w:color w:val="000000"/>
          <w:sz w:val="22"/>
          <w:szCs w:val="22"/>
          <w:lang w:val="en-US"/>
        </w:rPr>
        <w:t>;</w:t>
      </w:r>
    </w:p>
    <w:p w:rsidR="001552F8"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4) </w:t>
      </w:r>
      <w:r w:rsidR="00096732" w:rsidRPr="001552F8">
        <w:rPr>
          <w:color w:val="000000"/>
          <w:sz w:val="22"/>
          <w:szCs w:val="22"/>
          <w:lang w:val="en-US"/>
        </w:rPr>
        <w:t xml:space="preserve">The </w:t>
      </w:r>
      <w:r w:rsidRPr="001552F8">
        <w:rPr>
          <w:color w:val="000000"/>
          <w:sz w:val="22"/>
          <w:szCs w:val="22"/>
          <w:lang w:val="en-US"/>
        </w:rPr>
        <w:t xml:space="preserve">first rig </w:t>
      </w:r>
      <w:r w:rsidR="00096732">
        <w:rPr>
          <w:color w:val="000000"/>
          <w:sz w:val="22"/>
          <w:szCs w:val="22"/>
          <w:lang w:val="en-US"/>
        </w:rPr>
        <w:t>“</w:t>
      </w:r>
      <w:r w:rsidRPr="001552F8">
        <w:rPr>
          <w:color w:val="000000"/>
          <w:sz w:val="22"/>
          <w:szCs w:val="22"/>
          <w:lang w:val="en-US"/>
        </w:rPr>
        <w:t>Caspian Explorer</w:t>
      </w:r>
      <w:r w:rsidR="00096732">
        <w:rPr>
          <w:color w:val="000000"/>
          <w:sz w:val="22"/>
          <w:szCs w:val="22"/>
          <w:lang w:val="en-US"/>
        </w:rPr>
        <w:t>”</w:t>
      </w:r>
      <w:r w:rsidRPr="001552F8">
        <w:rPr>
          <w:color w:val="000000"/>
          <w:sz w:val="22"/>
          <w:szCs w:val="22"/>
          <w:lang w:val="en-US"/>
        </w:rPr>
        <w:t xml:space="preserve"> </w:t>
      </w:r>
      <w:r w:rsidR="00096732">
        <w:rPr>
          <w:color w:val="000000"/>
          <w:sz w:val="22"/>
          <w:szCs w:val="22"/>
          <w:lang w:val="en-US"/>
        </w:rPr>
        <w:t xml:space="preserve">was </w:t>
      </w:r>
      <w:r w:rsidR="00096732" w:rsidRPr="001552F8">
        <w:rPr>
          <w:color w:val="000000"/>
          <w:sz w:val="22"/>
          <w:szCs w:val="22"/>
          <w:lang w:val="en-US"/>
        </w:rPr>
        <w:t xml:space="preserve">built in Kazakhstan </w:t>
      </w:r>
      <w:r w:rsidR="00096732">
        <w:rPr>
          <w:color w:val="000000"/>
          <w:sz w:val="22"/>
          <w:szCs w:val="22"/>
          <w:lang w:val="en-US"/>
        </w:rPr>
        <w:t xml:space="preserve">by </w:t>
      </w:r>
      <w:r w:rsidRPr="001552F8">
        <w:rPr>
          <w:color w:val="000000"/>
          <w:sz w:val="22"/>
          <w:szCs w:val="22"/>
          <w:lang w:val="en-US"/>
        </w:rPr>
        <w:t xml:space="preserve">order </w:t>
      </w:r>
      <w:r w:rsidR="00096732">
        <w:rPr>
          <w:color w:val="000000"/>
          <w:sz w:val="22"/>
          <w:szCs w:val="22"/>
          <w:lang w:val="en-US"/>
        </w:rPr>
        <w:t xml:space="preserve">of </w:t>
      </w:r>
      <w:r w:rsidRPr="001552F8">
        <w:rPr>
          <w:color w:val="000000"/>
          <w:sz w:val="22"/>
          <w:szCs w:val="22"/>
          <w:lang w:val="en-US"/>
        </w:rPr>
        <w:t xml:space="preserve">the Korean company, designed for operation in the Caspian shelf, which will be used on </w:t>
      </w:r>
      <w:r w:rsidR="00096732">
        <w:rPr>
          <w:color w:val="000000"/>
          <w:sz w:val="22"/>
          <w:szCs w:val="22"/>
          <w:lang w:val="en-US"/>
        </w:rPr>
        <w:t>“</w:t>
      </w:r>
      <w:proofErr w:type="spellStart"/>
      <w:r w:rsidR="00096732" w:rsidRPr="001552F8">
        <w:rPr>
          <w:color w:val="000000"/>
          <w:sz w:val="22"/>
          <w:szCs w:val="22"/>
          <w:lang w:val="en-US"/>
        </w:rPr>
        <w:t>Zhambyl</w:t>
      </w:r>
      <w:proofErr w:type="spellEnd"/>
      <w:r w:rsidR="00096732">
        <w:rPr>
          <w:color w:val="000000"/>
          <w:sz w:val="22"/>
          <w:szCs w:val="22"/>
          <w:lang w:val="en-US"/>
        </w:rPr>
        <w:t xml:space="preserve">” </w:t>
      </w:r>
      <w:r w:rsidRPr="001552F8">
        <w:rPr>
          <w:color w:val="000000"/>
          <w:sz w:val="22"/>
          <w:szCs w:val="22"/>
          <w:lang w:val="en-US"/>
        </w:rPr>
        <w:t>project</w:t>
      </w:r>
      <w:r w:rsidR="00096732">
        <w:rPr>
          <w:color w:val="000000"/>
          <w:sz w:val="22"/>
          <w:szCs w:val="22"/>
          <w:lang w:val="en-US"/>
        </w:rPr>
        <w:t xml:space="preserve"> by</w:t>
      </w:r>
      <w:r w:rsidRPr="001552F8">
        <w:rPr>
          <w:color w:val="000000"/>
          <w:sz w:val="22"/>
          <w:szCs w:val="22"/>
          <w:lang w:val="en-US"/>
        </w:rPr>
        <w:t xml:space="preserve"> </w:t>
      </w:r>
      <w:proofErr w:type="spellStart"/>
      <w:r w:rsidR="00096732" w:rsidRPr="001552F8">
        <w:rPr>
          <w:color w:val="000000"/>
          <w:sz w:val="22"/>
          <w:szCs w:val="22"/>
          <w:lang w:val="en-US"/>
        </w:rPr>
        <w:t>Tengiz-Burgylau</w:t>
      </w:r>
      <w:proofErr w:type="spellEnd"/>
      <w:r w:rsidR="00096732" w:rsidRPr="001552F8">
        <w:rPr>
          <w:color w:val="000000"/>
          <w:sz w:val="22"/>
          <w:szCs w:val="22"/>
          <w:lang w:val="en-US"/>
        </w:rPr>
        <w:t xml:space="preserve"> </w:t>
      </w:r>
      <w:r w:rsidRPr="001552F8">
        <w:rPr>
          <w:color w:val="000000"/>
          <w:sz w:val="22"/>
          <w:szCs w:val="22"/>
          <w:lang w:val="en-US"/>
        </w:rPr>
        <w:t xml:space="preserve">operator </w:t>
      </w:r>
      <w:r w:rsidR="00096732">
        <w:rPr>
          <w:color w:val="000000"/>
          <w:sz w:val="22"/>
          <w:szCs w:val="22"/>
          <w:lang w:val="en-US"/>
        </w:rPr>
        <w:t>(subsidiary of JSC “</w:t>
      </w:r>
      <w:proofErr w:type="spellStart"/>
      <w:r w:rsidRPr="001552F8">
        <w:rPr>
          <w:color w:val="000000"/>
          <w:sz w:val="22"/>
          <w:szCs w:val="22"/>
          <w:lang w:val="en-US"/>
        </w:rPr>
        <w:t>KazMunayTeniz</w:t>
      </w:r>
      <w:proofErr w:type="spellEnd"/>
      <w:r w:rsidR="00096732">
        <w:rPr>
          <w:color w:val="000000"/>
          <w:sz w:val="22"/>
          <w:szCs w:val="22"/>
          <w:lang w:val="en-US"/>
        </w:rPr>
        <w:t>”</w:t>
      </w:r>
      <w:r w:rsidRPr="001552F8">
        <w:rPr>
          <w:color w:val="000000"/>
          <w:sz w:val="22"/>
          <w:szCs w:val="22"/>
          <w:lang w:val="en-US"/>
        </w:rPr>
        <w:t>);</w:t>
      </w:r>
    </w:p>
    <w:p w:rsidR="001552F8"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5) </w:t>
      </w:r>
      <w:r w:rsidR="00096732">
        <w:rPr>
          <w:color w:val="000000"/>
          <w:sz w:val="22"/>
          <w:szCs w:val="22"/>
          <w:lang w:val="en-US"/>
        </w:rPr>
        <w:t xml:space="preserve">on </w:t>
      </w:r>
      <w:r w:rsidRPr="001552F8">
        <w:rPr>
          <w:color w:val="000000"/>
          <w:sz w:val="22"/>
          <w:szCs w:val="22"/>
          <w:lang w:val="en-US"/>
        </w:rPr>
        <w:t xml:space="preserve">April 19, 2012 the Fund </w:t>
      </w:r>
      <w:r w:rsidR="00096732">
        <w:rPr>
          <w:color w:val="000000"/>
          <w:sz w:val="22"/>
          <w:szCs w:val="22"/>
          <w:lang w:val="en-US"/>
        </w:rPr>
        <w:t xml:space="preserve">was </w:t>
      </w:r>
      <w:r w:rsidRPr="001552F8">
        <w:rPr>
          <w:color w:val="000000"/>
          <w:sz w:val="22"/>
          <w:szCs w:val="22"/>
          <w:lang w:val="en-US"/>
        </w:rPr>
        <w:t xml:space="preserve">transferred </w:t>
      </w:r>
      <w:r w:rsidR="00096732">
        <w:rPr>
          <w:color w:val="000000"/>
          <w:sz w:val="22"/>
          <w:szCs w:val="22"/>
          <w:lang w:val="en-US"/>
        </w:rPr>
        <w:t>the state-owned shares of “</w:t>
      </w:r>
      <w:proofErr w:type="spellStart"/>
      <w:r w:rsidR="00096732">
        <w:rPr>
          <w:color w:val="000000"/>
          <w:sz w:val="22"/>
          <w:szCs w:val="22"/>
          <w:lang w:val="en-US"/>
        </w:rPr>
        <w:t>Arkagas</w:t>
      </w:r>
      <w:proofErr w:type="spellEnd"/>
      <w:r w:rsidR="00096732">
        <w:rPr>
          <w:color w:val="000000"/>
          <w:sz w:val="22"/>
          <w:szCs w:val="22"/>
          <w:lang w:val="en-US"/>
        </w:rPr>
        <w:t>” JSC</w:t>
      </w:r>
      <w:r w:rsidR="00096732" w:rsidRPr="00096732">
        <w:rPr>
          <w:color w:val="000000"/>
          <w:sz w:val="22"/>
          <w:szCs w:val="22"/>
          <w:lang w:val="en-US"/>
        </w:rPr>
        <w:t xml:space="preserve"> </w:t>
      </w:r>
      <w:r w:rsidR="00096732" w:rsidRPr="001552F8">
        <w:rPr>
          <w:color w:val="000000"/>
          <w:sz w:val="22"/>
          <w:szCs w:val="22"/>
          <w:lang w:val="en-US"/>
        </w:rPr>
        <w:t xml:space="preserve">in accordance with </w:t>
      </w:r>
      <w:r w:rsidR="00096732">
        <w:rPr>
          <w:color w:val="000000"/>
          <w:sz w:val="22"/>
          <w:szCs w:val="22"/>
          <w:lang w:val="en-US"/>
        </w:rPr>
        <w:t xml:space="preserve">Decree of </w:t>
      </w:r>
      <w:r w:rsidR="00096732" w:rsidRPr="001552F8">
        <w:rPr>
          <w:color w:val="000000"/>
          <w:sz w:val="22"/>
          <w:szCs w:val="22"/>
          <w:lang w:val="en-US"/>
        </w:rPr>
        <w:t xml:space="preserve">the Government Decree </w:t>
      </w:r>
      <w:r w:rsidR="00096732">
        <w:rPr>
          <w:color w:val="000000"/>
          <w:sz w:val="22"/>
          <w:szCs w:val="22"/>
          <w:lang w:val="en-US"/>
        </w:rPr>
        <w:t>#</w:t>
      </w:r>
      <w:r w:rsidR="00096732" w:rsidRPr="001552F8">
        <w:rPr>
          <w:color w:val="000000"/>
          <w:sz w:val="22"/>
          <w:szCs w:val="22"/>
          <w:lang w:val="en-US"/>
        </w:rPr>
        <w:t xml:space="preserve"> 822 </w:t>
      </w:r>
      <w:r w:rsidR="00096732">
        <w:rPr>
          <w:color w:val="000000"/>
          <w:sz w:val="22"/>
          <w:szCs w:val="22"/>
          <w:lang w:val="en-US"/>
        </w:rPr>
        <w:t>dated</w:t>
      </w:r>
      <w:r w:rsidR="00096732" w:rsidRPr="001552F8">
        <w:rPr>
          <w:color w:val="000000"/>
          <w:sz w:val="22"/>
          <w:szCs w:val="22"/>
          <w:lang w:val="en-US"/>
        </w:rPr>
        <w:t xml:space="preserve"> July 18, 2011</w:t>
      </w:r>
      <w:r w:rsidRPr="001552F8">
        <w:rPr>
          <w:color w:val="000000"/>
          <w:sz w:val="22"/>
          <w:szCs w:val="22"/>
          <w:lang w:val="en-US"/>
        </w:rPr>
        <w:t>;</w:t>
      </w:r>
    </w:p>
    <w:p w:rsidR="001552F8"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6) </w:t>
      </w:r>
      <w:proofErr w:type="gramStart"/>
      <w:r w:rsidRPr="001552F8">
        <w:rPr>
          <w:color w:val="000000"/>
          <w:sz w:val="22"/>
          <w:szCs w:val="22"/>
          <w:lang w:val="en-US"/>
        </w:rPr>
        <w:t>in</w:t>
      </w:r>
      <w:proofErr w:type="gramEnd"/>
      <w:r w:rsidRPr="001552F8">
        <w:rPr>
          <w:color w:val="000000"/>
          <w:sz w:val="22"/>
          <w:szCs w:val="22"/>
          <w:lang w:val="en-US"/>
        </w:rPr>
        <w:t xml:space="preserve"> accordance with the </w:t>
      </w:r>
      <w:r w:rsidR="00096732" w:rsidRPr="001552F8">
        <w:rPr>
          <w:color w:val="000000"/>
          <w:sz w:val="22"/>
          <w:szCs w:val="22"/>
          <w:lang w:val="en-US"/>
        </w:rPr>
        <w:t xml:space="preserve">Settlement Agreement </w:t>
      </w:r>
      <w:r w:rsidRPr="001552F8">
        <w:rPr>
          <w:color w:val="000000"/>
          <w:sz w:val="22"/>
          <w:szCs w:val="22"/>
          <w:lang w:val="en-US"/>
        </w:rPr>
        <w:t xml:space="preserve">signed on 14 December 2011 between the companies-participants of the Karachaganak project and the Republic of Kazakhstan, the Republic of Kazakhstan has been transferred 10% interest in the project. In this regard, KMG acquired 100% interest in </w:t>
      </w:r>
      <w:r w:rsidR="00096732">
        <w:rPr>
          <w:color w:val="000000"/>
          <w:sz w:val="22"/>
          <w:szCs w:val="22"/>
          <w:lang w:val="en-US"/>
        </w:rPr>
        <w:t>“</w:t>
      </w:r>
      <w:r w:rsidR="00096732" w:rsidRPr="001552F8">
        <w:rPr>
          <w:color w:val="000000"/>
          <w:sz w:val="22"/>
          <w:szCs w:val="22"/>
          <w:lang w:val="en-US"/>
        </w:rPr>
        <w:t xml:space="preserve">Share </w:t>
      </w:r>
      <w:r w:rsidRPr="001552F8">
        <w:rPr>
          <w:color w:val="000000"/>
          <w:sz w:val="22"/>
          <w:szCs w:val="22"/>
          <w:lang w:val="en-US"/>
        </w:rPr>
        <w:t>Management Company in the final production sharing agreement</w:t>
      </w:r>
      <w:r w:rsidR="00096732">
        <w:rPr>
          <w:color w:val="000000"/>
          <w:sz w:val="22"/>
          <w:szCs w:val="22"/>
          <w:lang w:val="en-US"/>
        </w:rPr>
        <w:t>” LLP.</w:t>
      </w:r>
    </w:p>
    <w:p w:rsidR="002664E4" w:rsidRPr="001552F8" w:rsidRDefault="001552F8" w:rsidP="00627857">
      <w:pPr>
        <w:tabs>
          <w:tab w:val="left" w:pos="426"/>
        </w:tabs>
        <w:autoSpaceDE w:val="0"/>
        <w:autoSpaceDN w:val="0"/>
        <w:adjustRightInd w:val="0"/>
        <w:ind w:left="-567" w:firstLine="567"/>
        <w:jc w:val="both"/>
        <w:rPr>
          <w:color w:val="000000"/>
          <w:sz w:val="22"/>
          <w:szCs w:val="22"/>
          <w:lang w:val="en-US"/>
        </w:rPr>
      </w:pPr>
      <w:r w:rsidRPr="001552F8">
        <w:rPr>
          <w:color w:val="000000"/>
          <w:sz w:val="22"/>
          <w:szCs w:val="22"/>
          <w:lang w:val="en-US"/>
        </w:rPr>
        <w:t xml:space="preserve">As a result of the agreement, </w:t>
      </w:r>
      <w:r w:rsidR="00096732">
        <w:rPr>
          <w:color w:val="000000"/>
          <w:sz w:val="22"/>
          <w:szCs w:val="22"/>
          <w:lang w:val="en-US"/>
        </w:rPr>
        <w:t>shares</w:t>
      </w:r>
      <w:r w:rsidRPr="001552F8">
        <w:rPr>
          <w:color w:val="000000"/>
          <w:sz w:val="22"/>
          <w:szCs w:val="22"/>
          <w:lang w:val="en-US"/>
        </w:rPr>
        <w:t xml:space="preserve"> in the Karachaganak consortium </w:t>
      </w:r>
      <w:r w:rsidR="00096732">
        <w:rPr>
          <w:color w:val="000000"/>
          <w:sz w:val="22"/>
          <w:szCs w:val="22"/>
          <w:lang w:val="en-US"/>
        </w:rPr>
        <w:t xml:space="preserve">were </w:t>
      </w:r>
      <w:r w:rsidRPr="001552F8">
        <w:rPr>
          <w:color w:val="000000"/>
          <w:sz w:val="22"/>
          <w:szCs w:val="22"/>
          <w:lang w:val="en-US"/>
        </w:rPr>
        <w:t>dist</w:t>
      </w:r>
      <w:r w:rsidR="00725A39">
        <w:rPr>
          <w:color w:val="000000"/>
          <w:sz w:val="22"/>
          <w:szCs w:val="22"/>
          <w:lang w:val="en-US"/>
        </w:rPr>
        <w:t>ributed as follows: BG Group 29.25%, Eni 29.</w:t>
      </w:r>
      <w:r w:rsidRPr="001552F8">
        <w:rPr>
          <w:color w:val="000000"/>
          <w:sz w:val="22"/>
          <w:szCs w:val="22"/>
          <w:lang w:val="en-US"/>
        </w:rPr>
        <w:t xml:space="preserve">25%, Chevron 18%, </w:t>
      </w:r>
      <w:proofErr w:type="spellStart"/>
      <w:r w:rsidRPr="001552F8">
        <w:rPr>
          <w:color w:val="000000"/>
          <w:sz w:val="22"/>
          <w:szCs w:val="22"/>
          <w:lang w:val="en-US"/>
        </w:rPr>
        <w:t>Lukoil</w:t>
      </w:r>
      <w:proofErr w:type="spellEnd"/>
      <w:r w:rsidRPr="001552F8">
        <w:rPr>
          <w:color w:val="000000"/>
          <w:sz w:val="22"/>
          <w:szCs w:val="22"/>
          <w:lang w:val="en-US"/>
        </w:rPr>
        <w:t xml:space="preserve"> 13.5%, and the Republic of Kazakhstan 10%</w:t>
      </w:r>
      <w:r w:rsidR="002664E4" w:rsidRPr="001552F8">
        <w:rPr>
          <w:color w:val="000000"/>
          <w:sz w:val="22"/>
          <w:szCs w:val="22"/>
          <w:lang w:val="en-US"/>
        </w:rPr>
        <w:t>.</w:t>
      </w:r>
    </w:p>
    <w:p w:rsidR="00096732" w:rsidRDefault="00096732" w:rsidP="00B33B39">
      <w:pPr>
        <w:ind w:left="-567" w:firstLine="567"/>
        <w:jc w:val="both"/>
        <w:rPr>
          <w:rStyle w:val="apple-style-span"/>
          <w:b/>
          <w:sz w:val="22"/>
          <w:szCs w:val="22"/>
          <w:shd w:val="clear" w:color="auto" w:fill="FFFFFF"/>
          <w:lang w:val="en-US"/>
        </w:rPr>
      </w:pPr>
    </w:p>
    <w:p w:rsidR="002664E4" w:rsidRPr="00084B59" w:rsidRDefault="002664E4" w:rsidP="00B33B39">
      <w:pPr>
        <w:ind w:left="-567" w:firstLine="567"/>
        <w:jc w:val="both"/>
        <w:rPr>
          <w:sz w:val="22"/>
          <w:szCs w:val="22"/>
          <w:lang w:val="kk-KZ"/>
        </w:rPr>
      </w:pPr>
      <w:r w:rsidRPr="00DC3AD6">
        <w:rPr>
          <w:rStyle w:val="apple-style-span"/>
          <w:b/>
          <w:sz w:val="22"/>
          <w:szCs w:val="22"/>
          <w:shd w:val="clear" w:color="auto" w:fill="FFFFFF"/>
          <w:lang w:val="en-US"/>
        </w:rPr>
        <w:t>“</w:t>
      </w:r>
      <w:r w:rsidR="00B33B39" w:rsidRPr="00DC3AD6">
        <w:rPr>
          <w:rStyle w:val="apple-style-span"/>
          <w:b/>
          <w:sz w:val="22"/>
          <w:szCs w:val="22"/>
          <w:shd w:val="clear" w:color="auto" w:fill="FFFFFF"/>
          <w:lang w:val="en-US"/>
        </w:rPr>
        <w:t>Mining</w:t>
      </w:r>
      <w:r w:rsidR="00B33B39" w:rsidRPr="00080877">
        <w:rPr>
          <w:rStyle w:val="apple-style-span"/>
          <w:b/>
          <w:sz w:val="22"/>
          <w:szCs w:val="22"/>
          <w:shd w:val="clear" w:color="auto" w:fill="FFFFFF"/>
          <w:lang w:val="en-US"/>
        </w:rPr>
        <w:t xml:space="preserve"> </w:t>
      </w:r>
      <w:r w:rsidR="00B33B39">
        <w:rPr>
          <w:rStyle w:val="apple-style-span"/>
          <w:b/>
          <w:sz w:val="22"/>
          <w:szCs w:val="22"/>
          <w:shd w:val="clear" w:color="auto" w:fill="FFFFFF"/>
          <w:lang w:val="en-US"/>
        </w:rPr>
        <w:t>and industrial”</w:t>
      </w:r>
      <w:r w:rsidRPr="00DC3AD6">
        <w:rPr>
          <w:rStyle w:val="apple-style-span"/>
          <w:sz w:val="22"/>
          <w:szCs w:val="22"/>
          <w:shd w:val="clear" w:color="auto" w:fill="FFFFFF"/>
          <w:lang w:val="en-US"/>
        </w:rPr>
        <w:t xml:space="preserve"> </w:t>
      </w:r>
      <w:r>
        <w:rPr>
          <w:rStyle w:val="apple-style-span"/>
          <w:sz w:val="22"/>
          <w:szCs w:val="22"/>
          <w:shd w:val="clear" w:color="auto" w:fill="FFFFFF"/>
          <w:lang w:val="en-US"/>
        </w:rPr>
        <w:t>Segment</w:t>
      </w:r>
      <w:r w:rsidRPr="00DC3AD6">
        <w:rPr>
          <w:rStyle w:val="apple-style-span"/>
          <w:sz w:val="22"/>
          <w:szCs w:val="22"/>
          <w:shd w:val="clear" w:color="auto" w:fill="FFFFFF"/>
          <w:lang w:val="en-US"/>
        </w:rPr>
        <w:t xml:space="preserve"> </w:t>
      </w:r>
      <w:r>
        <w:rPr>
          <w:rStyle w:val="apple-style-span"/>
          <w:sz w:val="22"/>
          <w:szCs w:val="22"/>
          <w:shd w:val="clear" w:color="auto" w:fill="FFFFFF"/>
          <w:lang w:val="en-US"/>
        </w:rPr>
        <w:t xml:space="preserve">consists of </w:t>
      </w:r>
      <w:r w:rsidRPr="00B41829">
        <w:rPr>
          <w:color w:val="000000"/>
          <w:sz w:val="22"/>
          <w:szCs w:val="22"/>
          <w:lang w:val="en-US"/>
        </w:rPr>
        <w:t>JSC “NAC “Kazatomprom”</w:t>
      </w:r>
      <w:r w:rsidRPr="00DC3AD6">
        <w:rPr>
          <w:color w:val="000000"/>
          <w:sz w:val="22"/>
          <w:szCs w:val="22"/>
          <w:lang w:val="en-US"/>
        </w:rPr>
        <w:t xml:space="preserve">, </w:t>
      </w:r>
      <w:r>
        <w:rPr>
          <w:color w:val="000000"/>
          <w:sz w:val="22"/>
          <w:szCs w:val="22"/>
          <w:lang w:val="en-US"/>
        </w:rPr>
        <w:t>“Kazakhstan Engineering” JSC</w:t>
      </w:r>
      <w:r w:rsidRPr="00DC3AD6">
        <w:rPr>
          <w:color w:val="000000"/>
          <w:sz w:val="22"/>
          <w:szCs w:val="22"/>
          <w:lang w:val="en-US"/>
        </w:rPr>
        <w:t xml:space="preserve">, </w:t>
      </w:r>
      <w:r>
        <w:rPr>
          <w:color w:val="000000"/>
          <w:sz w:val="22"/>
          <w:szCs w:val="22"/>
          <w:lang w:val="en-US"/>
        </w:rPr>
        <w:t>“United Chemical Company” LLP</w:t>
      </w:r>
      <w:r w:rsidRPr="00DC3AD6">
        <w:rPr>
          <w:color w:val="000000"/>
          <w:sz w:val="22"/>
          <w:szCs w:val="22"/>
          <w:lang w:val="en-US"/>
        </w:rPr>
        <w:t xml:space="preserve">, </w:t>
      </w:r>
      <w:r>
        <w:rPr>
          <w:color w:val="000000"/>
          <w:sz w:val="22"/>
          <w:szCs w:val="22"/>
          <w:lang w:val="en-US"/>
        </w:rPr>
        <w:t>JSC “NM</w:t>
      </w:r>
      <w:r w:rsidRPr="00084B59">
        <w:rPr>
          <w:sz w:val="22"/>
          <w:szCs w:val="22"/>
          <w:lang w:val="kk-KZ"/>
        </w:rPr>
        <w:t>C “Tau-Ken Samruk”, JSC NGC “Kazgeologiya”</w:t>
      </w:r>
      <w:r w:rsidR="009B4E26" w:rsidRPr="00084B59">
        <w:rPr>
          <w:sz w:val="22"/>
          <w:szCs w:val="22"/>
          <w:lang w:val="kk-KZ"/>
        </w:rPr>
        <w:t>, “</w:t>
      </w:r>
      <w:r w:rsidR="009B4E26" w:rsidRPr="00787BDD">
        <w:rPr>
          <w:sz w:val="22"/>
          <w:szCs w:val="22"/>
          <w:lang w:val="kk-KZ"/>
        </w:rPr>
        <w:t>Maikainzoloto</w:t>
      </w:r>
      <w:r w:rsidR="009B4E26" w:rsidRPr="00084B59">
        <w:rPr>
          <w:sz w:val="22"/>
          <w:szCs w:val="22"/>
          <w:lang w:val="kk-KZ"/>
        </w:rPr>
        <w:t>” JSC</w:t>
      </w:r>
      <w:r w:rsidR="00084B59" w:rsidRPr="00084B59">
        <w:rPr>
          <w:sz w:val="22"/>
          <w:szCs w:val="22"/>
          <w:lang w:val="kk-KZ"/>
        </w:rPr>
        <w:t>, “Karagandagiproshaht and Co.” LLP</w:t>
      </w:r>
      <w:r w:rsidRPr="00084B59">
        <w:rPr>
          <w:sz w:val="22"/>
          <w:szCs w:val="22"/>
          <w:lang w:val="kk-KZ"/>
        </w:rPr>
        <w:t>.</w:t>
      </w:r>
    </w:p>
    <w:p w:rsidR="002664E4" w:rsidRPr="00913252" w:rsidRDefault="002664E4" w:rsidP="00084B59">
      <w:pPr>
        <w:ind w:left="-567" w:firstLine="567"/>
        <w:jc w:val="both"/>
        <w:rPr>
          <w:bCs/>
          <w:color w:val="000000"/>
          <w:sz w:val="22"/>
          <w:szCs w:val="22"/>
          <w:lang w:val="en-US"/>
        </w:rPr>
      </w:pPr>
      <w:r w:rsidRPr="00084B59">
        <w:rPr>
          <w:sz w:val="22"/>
          <w:szCs w:val="22"/>
          <w:lang w:val="kk-KZ"/>
        </w:rPr>
        <w:t xml:space="preserve">JSC “NAC </w:t>
      </w:r>
      <w:r>
        <w:rPr>
          <w:color w:val="000000"/>
          <w:sz w:val="22"/>
          <w:szCs w:val="22"/>
          <w:lang w:val="en-US"/>
        </w:rPr>
        <w:t>“</w:t>
      </w:r>
      <w:r w:rsidRPr="00913252">
        <w:rPr>
          <w:color w:val="000000"/>
          <w:sz w:val="22"/>
          <w:szCs w:val="22"/>
          <w:lang w:val="en-US"/>
        </w:rPr>
        <w:t>Kazatomprom</w:t>
      </w:r>
      <w:r>
        <w:rPr>
          <w:color w:val="000000"/>
          <w:sz w:val="22"/>
          <w:szCs w:val="22"/>
          <w:lang w:val="en-US"/>
        </w:rPr>
        <w:t xml:space="preserve">” </w:t>
      </w:r>
      <w:r w:rsidR="00B41829" w:rsidRPr="00DC3AD6">
        <w:rPr>
          <w:color w:val="000000"/>
          <w:sz w:val="22"/>
          <w:szCs w:val="22"/>
          <w:lang w:val="en-US"/>
        </w:rPr>
        <w:t>(</w:t>
      </w:r>
      <w:r w:rsidR="00B41829">
        <w:rPr>
          <w:color w:val="000000"/>
          <w:sz w:val="22"/>
          <w:szCs w:val="22"/>
          <w:lang w:val="en-US"/>
        </w:rPr>
        <w:t>hereinafter</w:t>
      </w:r>
      <w:r w:rsidR="00B41829" w:rsidRPr="00DC3AD6">
        <w:rPr>
          <w:color w:val="000000"/>
          <w:sz w:val="22"/>
          <w:szCs w:val="22"/>
          <w:lang w:val="en-US"/>
        </w:rPr>
        <w:t xml:space="preserve"> – </w:t>
      </w:r>
      <w:r w:rsidR="00B41829">
        <w:rPr>
          <w:color w:val="000000"/>
          <w:sz w:val="22"/>
          <w:szCs w:val="22"/>
          <w:lang w:val="en-US"/>
        </w:rPr>
        <w:t>the KAP</w:t>
      </w:r>
      <w:r w:rsidR="00B41829" w:rsidRPr="00DC3AD6">
        <w:rPr>
          <w:color w:val="000000"/>
          <w:sz w:val="22"/>
          <w:szCs w:val="22"/>
          <w:lang w:val="en-US"/>
        </w:rPr>
        <w:t>)</w:t>
      </w:r>
      <w:r w:rsidR="00B41829">
        <w:rPr>
          <w:color w:val="000000"/>
          <w:sz w:val="22"/>
          <w:szCs w:val="22"/>
          <w:lang w:val="en-US"/>
        </w:rPr>
        <w:t xml:space="preserve"> </w:t>
      </w:r>
      <w:r w:rsidRPr="00913252">
        <w:rPr>
          <w:color w:val="000000"/>
          <w:sz w:val="22"/>
          <w:szCs w:val="22"/>
          <w:lang w:val="en-US"/>
        </w:rPr>
        <w:t xml:space="preserve">is the national operator for the import and export of uranium and its compounds, nuclear fuel for nuclear power plants, special equipment and technology, dual-use materials. The principal activities of the </w:t>
      </w:r>
      <w:r>
        <w:rPr>
          <w:color w:val="000000"/>
          <w:sz w:val="22"/>
          <w:szCs w:val="22"/>
          <w:lang w:val="en-US"/>
        </w:rPr>
        <w:t>KAP</w:t>
      </w:r>
      <w:r w:rsidRPr="00913252">
        <w:rPr>
          <w:color w:val="000000"/>
          <w:sz w:val="22"/>
          <w:szCs w:val="22"/>
          <w:lang w:val="en-US"/>
        </w:rPr>
        <w:t xml:space="preserve"> are: </w:t>
      </w:r>
      <w:r>
        <w:rPr>
          <w:color w:val="000000"/>
          <w:sz w:val="22"/>
          <w:szCs w:val="22"/>
          <w:lang w:val="en-US"/>
        </w:rPr>
        <w:t xml:space="preserve"> </w:t>
      </w:r>
    </w:p>
    <w:p w:rsidR="002664E4" w:rsidRPr="00913252" w:rsidRDefault="002664E4" w:rsidP="00627857">
      <w:pPr>
        <w:pStyle w:val="a3"/>
        <w:numPr>
          <w:ilvl w:val="0"/>
          <w:numId w:val="1"/>
        </w:numPr>
        <w:tabs>
          <w:tab w:val="left" w:pos="284"/>
        </w:tabs>
        <w:autoSpaceDE w:val="0"/>
        <w:autoSpaceDN w:val="0"/>
        <w:adjustRightInd w:val="0"/>
        <w:ind w:left="-567" w:firstLine="567"/>
        <w:jc w:val="both"/>
        <w:rPr>
          <w:bCs/>
          <w:color w:val="000000"/>
          <w:sz w:val="22"/>
          <w:szCs w:val="22"/>
          <w:lang w:val="en-US"/>
        </w:rPr>
      </w:pPr>
      <w:r w:rsidRPr="00913252">
        <w:rPr>
          <w:bCs/>
          <w:color w:val="000000"/>
          <w:sz w:val="22"/>
          <w:szCs w:val="22"/>
          <w:lang w:val="en-US"/>
        </w:rPr>
        <w:t xml:space="preserve"> uranium mining, processing and selling of uranium products;</w:t>
      </w:r>
    </w:p>
    <w:p w:rsidR="002664E4" w:rsidRPr="00492568" w:rsidRDefault="002664E4" w:rsidP="00627857">
      <w:pPr>
        <w:pStyle w:val="a3"/>
        <w:numPr>
          <w:ilvl w:val="0"/>
          <w:numId w:val="1"/>
        </w:numPr>
        <w:tabs>
          <w:tab w:val="left" w:pos="284"/>
        </w:tabs>
        <w:autoSpaceDE w:val="0"/>
        <w:autoSpaceDN w:val="0"/>
        <w:adjustRightInd w:val="0"/>
        <w:ind w:left="-567" w:firstLine="567"/>
        <w:jc w:val="both"/>
        <w:rPr>
          <w:color w:val="000000"/>
          <w:sz w:val="22"/>
          <w:szCs w:val="22"/>
          <w:lang w:val="en-US"/>
        </w:rPr>
      </w:pPr>
      <w:r w:rsidRPr="00913252">
        <w:rPr>
          <w:bCs/>
          <w:color w:val="000000"/>
          <w:sz w:val="22"/>
          <w:szCs w:val="22"/>
          <w:lang w:val="en-US"/>
        </w:rPr>
        <w:t xml:space="preserve"> </w:t>
      </w:r>
      <w:r w:rsidRPr="00492568">
        <w:rPr>
          <w:color w:val="000000"/>
          <w:sz w:val="22"/>
          <w:szCs w:val="22"/>
          <w:lang w:val="en-US"/>
        </w:rPr>
        <w:t>production and sale of products of tantalum and beryllium, as well as research and development;</w:t>
      </w:r>
    </w:p>
    <w:p w:rsidR="002664E4" w:rsidRPr="00492568" w:rsidRDefault="002664E4" w:rsidP="00627857">
      <w:pPr>
        <w:pStyle w:val="a3"/>
        <w:numPr>
          <w:ilvl w:val="0"/>
          <w:numId w:val="1"/>
        </w:numPr>
        <w:tabs>
          <w:tab w:val="left" w:pos="284"/>
        </w:tabs>
        <w:autoSpaceDE w:val="0"/>
        <w:autoSpaceDN w:val="0"/>
        <w:adjustRightInd w:val="0"/>
        <w:ind w:left="-567" w:firstLine="567"/>
        <w:jc w:val="both"/>
        <w:rPr>
          <w:color w:val="000000"/>
          <w:sz w:val="22"/>
          <w:szCs w:val="22"/>
          <w:lang w:val="en-US"/>
        </w:rPr>
      </w:pPr>
      <w:r w:rsidRPr="00492568">
        <w:rPr>
          <w:color w:val="000000"/>
          <w:sz w:val="22"/>
          <w:szCs w:val="22"/>
          <w:lang w:val="en-US"/>
        </w:rPr>
        <w:t xml:space="preserve"> production and sale of electricity, heat and water;</w:t>
      </w:r>
    </w:p>
    <w:p w:rsidR="002664E4" w:rsidRDefault="002664E4" w:rsidP="00627857">
      <w:pPr>
        <w:pStyle w:val="a3"/>
        <w:numPr>
          <w:ilvl w:val="0"/>
          <w:numId w:val="1"/>
        </w:numPr>
        <w:tabs>
          <w:tab w:val="left" w:pos="284"/>
        </w:tabs>
        <w:autoSpaceDE w:val="0"/>
        <w:autoSpaceDN w:val="0"/>
        <w:adjustRightInd w:val="0"/>
        <w:ind w:left="-567" w:firstLine="567"/>
        <w:jc w:val="both"/>
        <w:rPr>
          <w:bCs/>
          <w:color w:val="000000"/>
          <w:sz w:val="22"/>
          <w:szCs w:val="22"/>
          <w:lang w:val="en-US"/>
        </w:rPr>
      </w:pPr>
      <w:r w:rsidRPr="00492568">
        <w:rPr>
          <w:color w:val="000000"/>
          <w:sz w:val="22"/>
          <w:szCs w:val="22"/>
          <w:lang w:val="en-US"/>
        </w:rPr>
        <w:t xml:space="preserve"> </w:t>
      </w:r>
      <w:proofErr w:type="gramStart"/>
      <w:r w:rsidRPr="00492568">
        <w:rPr>
          <w:color w:val="000000"/>
          <w:sz w:val="22"/>
          <w:szCs w:val="22"/>
          <w:lang w:val="en-US"/>
        </w:rPr>
        <w:t>production</w:t>
      </w:r>
      <w:proofErr w:type="gramEnd"/>
      <w:r w:rsidRPr="00913252">
        <w:rPr>
          <w:bCs/>
          <w:color w:val="000000"/>
          <w:sz w:val="22"/>
          <w:szCs w:val="22"/>
          <w:lang w:val="en-US"/>
        </w:rPr>
        <w:t xml:space="preserve"> and sale of other products and services for primary production.</w:t>
      </w:r>
    </w:p>
    <w:p w:rsidR="002664E4" w:rsidRPr="00913252" w:rsidRDefault="002664E4" w:rsidP="002664E4">
      <w:pPr>
        <w:tabs>
          <w:tab w:val="left" w:pos="426"/>
        </w:tabs>
        <w:autoSpaceDE w:val="0"/>
        <w:autoSpaceDN w:val="0"/>
        <w:adjustRightInd w:val="0"/>
        <w:ind w:left="-567" w:firstLine="709"/>
        <w:jc w:val="both"/>
        <w:rPr>
          <w:color w:val="000000"/>
          <w:sz w:val="22"/>
          <w:szCs w:val="22"/>
          <w:lang w:val="en-US"/>
        </w:rPr>
      </w:pPr>
      <w:r w:rsidRPr="00913252">
        <w:rPr>
          <w:color w:val="000000"/>
          <w:sz w:val="22"/>
          <w:szCs w:val="22"/>
          <w:lang w:val="en-US"/>
        </w:rPr>
        <w:t>The asset</w:t>
      </w:r>
      <w:r>
        <w:rPr>
          <w:color w:val="000000"/>
          <w:sz w:val="22"/>
          <w:szCs w:val="22"/>
          <w:lang w:val="en-US"/>
        </w:rPr>
        <w:t xml:space="preserve">s structure </w:t>
      </w:r>
      <w:r w:rsidRPr="00913252">
        <w:rPr>
          <w:color w:val="000000"/>
          <w:sz w:val="22"/>
          <w:szCs w:val="22"/>
          <w:lang w:val="en-US"/>
        </w:rPr>
        <w:t xml:space="preserve">of </w:t>
      </w:r>
      <w:r>
        <w:rPr>
          <w:color w:val="000000"/>
          <w:sz w:val="22"/>
          <w:szCs w:val="22"/>
          <w:lang w:val="en-US"/>
        </w:rPr>
        <w:t>the K</w:t>
      </w:r>
      <w:r w:rsidRPr="00913252">
        <w:rPr>
          <w:color w:val="000000"/>
          <w:sz w:val="22"/>
          <w:szCs w:val="22"/>
          <w:lang w:val="en-US"/>
        </w:rPr>
        <w:t>AP consists of 7</w:t>
      </w:r>
      <w:r w:rsidR="00B41829">
        <w:rPr>
          <w:color w:val="000000"/>
          <w:sz w:val="22"/>
          <w:szCs w:val="22"/>
          <w:lang w:val="en-US"/>
        </w:rPr>
        <w:t>4</w:t>
      </w:r>
      <w:r w:rsidRPr="00913252">
        <w:rPr>
          <w:color w:val="000000"/>
          <w:sz w:val="22"/>
          <w:szCs w:val="22"/>
          <w:lang w:val="en-US"/>
        </w:rPr>
        <w:t xml:space="preserve"> companies on </w:t>
      </w:r>
      <w:r w:rsidR="00A86CCE">
        <w:rPr>
          <w:color w:val="000000"/>
          <w:sz w:val="22"/>
          <w:szCs w:val="22"/>
          <w:lang w:val="en-US"/>
        </w:rPr>
        <w:t>4</w:t>
      </w:r>
      <w:r w:rsidRPr="00913252">
        <w:rPr>
          <w:color w:val="000000"/>
          <w:sz w:val="22"/>
          <w:szCs w:val="22"/>
          <w:lang w:val="en-US"/>
        </w:rPr>
        <w:t xml:space="preserve"> levels</w:t>
      </w:r>
      <w:r w:rsidR="00846164">
        <w:rPr>
          <w:color w:val="000000"/>
          <w:sz w:val="22"/>
          <w:szCs w:val="22"/>
          <w:lang w:val="en-US"/>
        </w:rPr>
        <w:t>.</w:t>
      </w:r>
      <w:r w:rsidRPr="00913252">
        <w:rPr>
          <w:color w:val="000000"/>
          <w:sz w:val="22"/>
          <w:szCs w:val="22"/>
          <w:lang w:val="en-US"/>
        </w:rPr>
        <w:t xml:space="preserve"> </w:t>
      </w:r>
      <w:r w:rsidR="00846164" w:rsidRPr="00913252">
        <w:rPr>
          <w:color w:val="000000"/>
          <w:sz w:val="22"/>
          <w:szCs w:val="22"/>
          <w:lang w:val="en-US"/>
        </w:rPr>
        <w:t>Within</w:t>
      </w:r>
      <w:r w:rsidRPr="00913252">
        <w:rPr>
          <w:color w:val="000000"/>
          <w:sz w:val="22"/>
          <w:szCs w:val="22"/>
          <w:lang w:val="en-US"/>
        </w:rPr>
        <w:t xml:space="preserve"> the context </w:t>
      </w:r>
      <w:r>
        <w:rPr>
          <w:color w:val="000000"/>
          <w:sz w:val="22"/>
          <w:szCs w:val="22"/>
          <w:lang w:val="en-US"/>
        </w:rPr>
        <w:t>of measures to restructure the G</w:t>
      </w:r>
      <w:r w:rsidR="00B33B39">
        <w:rPr>
          <w:color w:val="000000"/>
          <w:sz w:val="22"/>
          <w:szCs w:val="22"/>
          <w:lang w:val="en-US"/>
        </w:rPr>
        <w:t>roup’</w:t>
      </w:r>
      <w:r w:rsidRPr="00913252">
        <w:rPr>
          <w:color w:val="000000"/>
          <w:sz w:val="22"/>
          <w:szCs w:val="22"/>
          <w:lang w:val="en-US"/>
        </w:rPr>
        <w:t xml:space="preserve">s assets, </w:t>
      </w:r>
      <w:r>
        <w:rPr>
          <w:color w:val="000000"/>
          <w:sz w:val="22"/>
          <w:szCs w:val="22"/>
          <w:lang w:val="en-US"/>
        </w:rPr>
        <w:t>the K</w:t>
      </w:r>
      <w:r w:rsidRPr="00913252">
        <w:rPr>
          <w:color w:val="000000"/>
          <w:sz w:val="22"/>
          <w:szCs w:val="22"/>
          <w:lang w:val="en-US"/>
        </w:rPr>
        <w:t xml:space="preserve">AP will continue to increase </w:t>
      </w:r>
      <w:r>
        <w:rPr>
          <w:color w:val="000000"/>
          <w:sz w:val="22"/>
          <w:szCs w:val="22"/>
          <w:lang w:val="en-US"/>
        </w:rPr>
        <w:t>the</w:t>
      </w:r>
      <w:r w:rsidRPr="00913252">
        <w:rPr>
          <w:color w:val="000000"/>
          <w:sz w:val="22"/>
          <w:szCs w:val="22"/>
          <w:lang w:val="en-US"/>
        </w:rPr>
        <w:t xml:space="preserve"> share in equity and joint mining organizations in order to gain control and </w:t>
      </w:r>
      <w:r>
        <w:rPr>
          <w:color w:val="000000"/>
          <w:sz w:val="22"/>
          <w:szCs w:val="22"/>
          <w:lang w:val="en-US"/>
        </w:rPr>
        <w:t xml:space="preserve">strengthen the </w:t>
      </w:r>
      <w:r w:rsidRPr="00913252">
        <w:rPr>
          <w:color w:val="000000"/>
          <w:sz w:val="22"/>
          <w:szCs w:val="22"/>
          <w:lang w:val="en-US"/>
        </w:rPr>
        <w:t>influence.</w:t>
      </w:r>
    </w:p>
    <w:p w:rsidR="00846164" w:rsidRDefault="002664E4" w:rsidP="00846164">
      <w:pPr>
        <w:tabs>
          <w:tab w:val="left" w:pos="426"/>
        </w:tabs>
        <w:autoSpaceDE w:val="0"/>
        <w:autoSpaceDN w:val="0"/>
        <w:adjustRightInd w:val="0"/>
        <w:ind w:left="-567" w:firstLine="709"/>
        <w:jc w:val="both"/>
        <w:rPr>
          <w:color w:val="000000"/>
          <w:sz w:val="22"/>
          <w:szCs w:val="22"/>
          <w:lang w:val="en-US"/>
        </w:rPr>
      </w:pPr>
      <w:r w:rsidRPr="00913252">
        <w:rPr>
          <w:color w:val="000000"/>
          <w:sz w:val="22"/>
          <w:szCs w:val="22"/>
          <w:lang w:val="en-US"/>
        </w:rPr>
        <w:t xml:space="preserve">The volume of uranium mining in the Republic of Kazakhstan </w:t>
      </w:r>
      <w:r>
        <w:rPr>
          <w:color w:val="000000"/>
          <w:sz w:val="22"/>
          <w:szCs w:val="22"/>
          <w:lang w:val="en-US"/>
        </w:rPr>
        <w:t xml:space="preserve">by the KAP </w:t>
      </w:r>
      <w:r w:rsidR="00846164">
        <w:rPr>
          <w:color w:val="000000"/>
          <w:sz w:val="22"/>
          <w:szCs w:val="22"/>
          <w:lang w:val="en-US"/>
        </w:rPr>
        <w:t xml:space="preserve">organizations </w:t>
      </w:r>
      <w:r w:rsidR="006A2611">
        <w:rPr>
          <w:color w:val="000000"/>
          <w:sz w:val="22"/>
          <w:szCs w:val="22"/>
          <w:lang w:val="en-US"/>
        </w:rPr>
        <w:t xml:space="preserve">in H1 </w:t>
      </w:r>
      <w:r w:rsidR="00846164">
        <w:rPr>
          <w:color w:val="000000"/>
          <w:sz w:val="22"/>
          <w:szCs w:val="22"/>
          <w:lang w:val="en-US"/>
        </w:rPr>
        <w:t>2012</w:t>
      </w:r>
      <w:r w:rsidR="0077204C">
        <w:rPr>
          <w:color w:val="000000"/>
          <w:sz w:val="22"/>
          <w:szCs w:val="22"/>
          <w:lang w:val="en-US"/>
        </w:rPr>
        <w:t xml:space="preserve"> was </w:t>
      </w:r>
      <w:r w:rsidR="00846164">
        <w:rPr>
          <w:color w:val="000000"/>
          <w:sz w:val="22"/>
          <w:szCs w:val="22"/>
          <w:lang w:val="en-US"/>
        </w:rPr>
        <w:t>9 652</w:t>
      </w:r>
      <w:r w:rsidRPr="00913252">
        <w:rPr>
          <w:color w:val="000000"/>
          <w:sz w:val="22"/>
          <w:szCs w:val="22"/>
          <w:lang w:val="en-US"/>
        </w:rPr>
        <w:t xml:space="preserve"> tons, </w:t>
      </w:r>
      <w:r>
        <w:rPr>
          <w:color w:val="000000"/>
          <w:sz w:val="22"/>
          <w:szCs w:val="22"/>
          <w:lang w:val="en-US"/>
        </w:rPr>
        <w:t xml:space="preserve">which is by </w:t>
      </w:r>
      <w:r w:rsidR="00846164">
        <w:rPr>
          <w:color w:val="000000"/>
          <w:sz w:val="22"/>
          <w:szCs w:val="22"/>
          <w:lang w:val="en-US"/>
        </w:rPr>
        <w:t>8</w:t>
      </w:r>
      <w:r>
        <w:rPr>
          <w:color w:val="000000"/>
          <w:sz w:val="22"/>
          <w:szCs w:val="22"/>
          <w:lang w:val="en-US"/>
        </w:rPr>
        <w:t>%</w:t>
      </w:r>
      <w:r w:rsidRPr="00913252">
        <w:rPr>
          <w:color w:val="000000"/>
          <w:sz w:val="22"/>
          <w:szCs w:val="22"/>
          <w:lang w:val="en-US"/>
        </w:rPr>
        <w:t xml:space="preserve"> more than in </w:t>
      </w:r>
      <w:r w:rsidR="00846164">
        <w:rPr>
          <w:color w:val="000000"/>
          <w:sz w:val="22"/>
          <w:szCs w:val="22"/>
          <w:lang w:val="en-US"/>
        </w:rPr>
        <w:t xml:space="preserve">the same period of </w:t>
      </w:r>
      <w:r w:rsidRPr="00913252">
        <w:rPr>
          <w:color w:val="000000"/>
          <w:sz w:val="22"/>
          <w:szCs w:val="22"/>
          <w:lang w:val="en-US"/>
        </w:rPr>
        <w:t>201</w:t>
      </w:r>
      <w:r w:rsidR="00846164">
        <w:rPr>
          <w:color w:val="000000"/>
          <w:sz w:val="22"/>
          <w:szCs w:val="22"/>
          <w:lang w:val="en-US"/>
        </w:rPr>
        <w:t>1</w:t>
      </w:r>
      <w:r w:rsidRPr="00913252">
        <w:rPr>
          <w:color w:val="000000"/>
          <w:sz w:val="22"/>
          <w:szCs w:val="22"/>
          <w:lang w:val="en-US"/>
        </w:rPr>
        <w:t>. The Group</w:t>
      </w:r>
      <w:r w:rsidR="0077204C">
        <w:rPr>
          <w:color w:val="000000"/>
          <w:sz w:val="22"/>
          <w:szCs w:val="22"/>
          <w:lang w:val="en-US"/>
        </w:rPr>
        <w:t>’</w:t>
      </w:r>
      <w:r w:rsidRPr="00913252">
        <w:rPr>
          <w:color w:val="000000"/>
          <w:sz w:val="22"/>
          <w:szCs w:val="22"/>
          <w:lang w:val="en-US"/>
        </w:rPr>
        <w:t xml:space="preserve">s share </w:t>
      </w:r>
      <w:r>
        <w:rPr>
          <w:color w:val="000000"/>
          <w:sz w:val="22"/>
          <w:szCs w:val="22"/>
          <w:lang w:val="en-US"/>
        </w:rPr>
        <w:t xml:space="preserve">with account of </w:t>
      </w:r>
      <w:r w:rsidRPr="00913252">
        <w:rPr>
          <w:color w:val="000000"/>
          <w:sz w:val="22"/>
          <w:szCs w:val="22"/>
          <w:lang w:val="en-US"/>
        </w:rPr>
        <w:t xml:space="preserve">production volumes </w:t>
      </w:r>
      <w:r>
        <w:rPr>
          <w:color w:val="000000"/>
          <w:sz w:val="22"/>
          <w:szCs w:val="22"/>
          <w:lang w:val="en-US"/>
        </w:rPr>
        <w:t xml:space="preserve">of </w:t>
      </w:r>
      <w:r w:rsidRPr="00913252">
        <w:rPr>
          <w:color w:val="000000"/>
          <w:sz w:val="22"/>
          <w:szCs w:val="22"/>
          <w:lang w:val="en-US"/>
        </w:rPr>
        <w:t xml:space="preserve">dependent and jointly controlled entities in the world market of natural uranium is </w:t>
      </w:r>
      <w:r w:rsidR="00846164">
        <w:rPr>
          <w:color w:val="000000"/>
          <w:sz w:val="22"/>
          <w:szCs w:val="22"/>
          <w:lang w:val="en-US"/>
        </w:rPr>
        <w:t>about 34</w:t>
      </w:r>
      <w:r w:rsidRPr="00913252">
        <w:rPr>
          <w:color w:val="000000"/>
          <w:sz w:val="22"/>
          <w:szCs w:val="22"/>
          <w:lang w:val="en-US"/>
        </w:rPr>
        <w:t>%</w:t>
      </w:r>
      <w:r w:rsidR="003C626E">
        <w:rPr>
          <w:color w:val="000000"/>
          <w:sz w:val="22"/>
          <w:szCs w:val="22"/>
          <w:lang w:val="en-US"/>
        </w:rPr>
        <w:t xml:space="preserve"> </w:t>
      </w:r>
      <w:r w:rsidR="003C626E" w:rsidRPr="003C626E">
        <w:rPr>
          <w:color w:val="000000"/>
          <w:sz w:val="22"/>
          <w:szCs w:val="22"/>
          <w:lang w:val="en-US"/>
        </w:rPr>
        <w:t>(2011– 35%)</w:t>
      </w:r>
      <w:r w:rsidRPr="00913252">
        <w:rPr>
          <w:color w:val="000000"/>
          <w:sz w:val="22"/>
          <w:szCs w:val="22"/>
          <w:lang w:val="en-US"/>
        </w:rPr>
        <w:t xml:space="preserve">, without account </w:t>
      </w:r>
      <w:r w:rsidR="00846164">
        <w:rPr>
          <w:color w:val="000000"/>
          <w:sz w:val="22"/>
          <w:szCs w:val="22"/>
          <w:lang w:val="en-US"/>
        </w:rPr>
        <w:t>–</w:t>
      </w:r>
      <w:r w:rsidRPr="00913252">
        <w:rPr>
          <w:color w:val="000000"/>
          <w:sz w:val="22"/>
          <w:szCs w:val="22"/>
          <w:lang w:val="en-US"/>
        </w:rPr>
        <w:t xml:space="preserve"> </w:t>
      </w:r>
      <w:r w:rsidR="00846164">
        <w:rPr>
          <w:color w:val="000000"/>
          <w:sz w:val="22"/>
          <w:szCs w:val="22"/>
          <w:lang w:val="en-US"/>
        </w:rPr>
        <w:t>11.8</w:t>
      </w:r>
      <w:r w:rsidRPr="00913252">
        <w:rPr>
          <w:color w:val="000000"/>
          <w:sz w:val="22"/>
          <w:szCs w:val="22"/>
          <w:lang w:val="en-US"/>
        </w:rPr>
        <w:t>%</w:t>
      </w:r>
      <w:r w:rsidR="003C626E">
        <w:rPr>
          <w:color w:val="000000"/>
          <w:sz w:val="22"/>
          <w:szCs w:val="22"/>
          <w:lang w:val="en-US"/>
        </w:rPr>
        <w:t xml:space="preserve"> </w:t>
      </w:r>
      <w:r w:rsidR="003C626E" w:rsidRPr="003C626E">
        <w:rPr>
          <w:color w:val="000000"/>
          <w:sz w:val="22"/>
          <w:szCs w:val="22"/>
          <w:lang w:val="en-US"/>
        </w:rPr>
        <w:t>(2011 – 12%)</w:t>
      </w:r>
      <w:r w:rsidRPr="00913252">
        <w:rPr>
          <w:color w:val="000000"/>
          <w:sz w:val="22"/>
          <w:szCs w:val="22"/>
          <w:lang w:val="en-US"/>
        </w:rPr>
        <w:t xml:space="preserve">. The bulk of </w:t>
      </w:r>
      <w:r>
        <w:rPr>
          <w:color w:val="000000"/>
          <w:sz w:val="22"/>
          <w:szCs w:val="22"/>
          <w:lang w:val="en-US"/>
        </w:rPr>
        <w:t>the K</w:t>
      </w:r>
      <w:r w:rsidRPr="00913252">
        <w:rPr>
          <w:color w:val="000000"/>
          <w:sz w:val="22"/>
          <w:szCs w:val="22"/>
          <w:lang w:val="en-US"/>
        </w:rPr>
        <w:t>AP products (uranium, tantalum, beryllium, etc.) are exported f</w:t>
      </w:r>
      <w:r w:rsidR="00846164">
        <w:rPr>
          <w:color w:val="000000"/>
          <w:sz w:val="22"/>
          <w:szCs w:val="22"/>
          <w:lang w:val="en-US"/>
        </w:rPr>
        <w:t>rom the Republic of Kazakhstan.</w:t>
      </w:r>
    </w:p>
    <w:p w:rsidR="00846164" w:rsidRDefault="00846164" w:rsidP="00846164">
      <w:pPr>
        <w:tabs>
          <w:tab w:val="left" w:pos="426"/>
        </w:tabs>
        <w:autoSpaceDE w:val="0"/>
        <w:autoSpaceDN w:val="0"/>
        <w:adjustRightInd w:val="0"/>
        <w:ind w:left="-567" w:firstLine="709"/>
        <w:jc w:val="both"/>
        <w:rPr>
          <w:color w:val="000000"/>
          <w:sz w:val="22"/>
          <w:szCs w:val="22"/>
          <w:lang w:val="en-US"/>
        </w:rPr>
      </w:pPr>
      <w:r w:rsidRPr="00846164">
        <w:rPr>
          <w:b/>
          <w:color w:val="000000"/>
          <w:sz w:val="22"/>
          <w:szCs w:val="22"/>
          <w:lang w:val="en-US"/>
        </w:rPr>
        <w:t>JSC “NMC “Tau-Ken Samruk”</w:t>
      </w:r>
      <w:r w:rsidRPr="00846164">
        <w:rPr>
          <w:color w:val="000000"/>
          <w:sz w:val="22"/>
          <w:szCs w:val="22"/>
          <w:lang w:val="en-US"/>
        </w:rPr>
        <w:t xml:space="preserve"> </w:t>
      </w:r>
      <w:r>
        <w:rPr>
          <w:color w:val="000000"/>
          <w:sz w:val="22"/>
          <w:szCs w:val="22"/>
          <w:lang w:val="en-US"/>
        </w:rPr>
        <w:t>(hereinafter - TK</w:t>
      </w:r>
      <w:r w:rsidRPr="00846164">
        <w:rPr>
          <w:color w:val="000000"/>
          <w:sz w:val="22"/>
          <w:szCs w:val="22"/>
          <w:lang w:val="en-US"/>
        </w:rPr>
        <w:t xml:space="preserve">S) was established in accordance with </w:t>
      </w:r>
      <w:r>
        <w:rPr>
          <w:color w:val="000000"/>
          <w:sz w:val="22"/>
          <w:szCs w:val="22"/>
          <w:lang w:val="en-US"/>
        </w:rPr>
        <w:t xml:space="preserve">Decree of </w:t>
      </w:r>
      <w:r w:rsidRPr="00846164">
        <w:rPr>
          <w:color w:val="000000"/>
          <w:sz w:val="22"/>
          <w:szCs w:val="22"/>
          <w:lang w:val="en-US"/>
        </w:rPr>
        <w:t xml:space="preserve">the Government of the Republic of Kazakhstan </w:t>
      </w:r>
      <w:r>
        <w:rPr>
          <w:color w:val="000000"/>
          <w:sz w:val="22"/>
          <w:szCs w:val="22"/>
          <w:lang w:val="en-US"/>
        </w:rPr>
        <w:t>#</w:t>
      </w:r>
      <w:r w:rsidRPr="00846164">
        <w:rPr>
          <w:color w:val="000000"/>
          <w:sz w:val="22"/>
          <w:szCs w:val="22"/>
          <w:lang w:val="en-US"/>
        </w:rPr>
        <w:t xml:space="preserve"> 10</w:t>
      </w:r>
      <w:r>
        <w:rPr>
          <w:color w:val="000000"/>
          <w:sz w:val="22"/>
          <w:szCs w:val="22"/>
          <w:lang w:val="en-US"/>
        </w:rPr>
        <w:t xml:space="preserve"> dated</w:t>
      </w:r>
      <w:r w:rsidRPr="00846164">
        <w:rPr>
          <w:color w:val="000000"/>
          <w:sz w:val="22"/>
          <w:szCs w:val="22"/>
          <w:lang w:val="en-US"/>
        </w:rPr>
        <w:t xml:space="preserve"> January 15, 2009, in order to ensure the efficient operation of subsoil use in the exploration, development, production, processing and marketing of solid mineral resources, the effective management of transmitted blocks of shares of mining and metallurgical </w:t>
      </w:r>
      <w:r>
        <w:rPr>
          <w:color w:val="000000"/>
          <w:sz w:val="22"/>
          <w:szCs w:val="22"/>
          <w:lang w:val="en-US"/>
        </w:rPr>
        <w:t>enterprises</w:t>
      </w:r>
      <w:r w:rsidRPr="00846164">
        <w:rPr>
          <w:color w:val="000000"/>
          <w:sz w:val="22"/>
          <w:szCs w:val="22"/>
          <w:lang w:val="en-US"/>
        </w:rPr>
        <w:t>, the development and implementation of new high-efficient technologies in the mining industry, the reproduction of the mineral resources base of the republic, the development of of</w:t>
      </w:r>
      <w:r>
        <w:rPr>
          <w:color w:val="000000"/>
          <w:sz w:val="22"/>
          <w:szCs w:val="22"/>
          <w:lang w:val="en-US"/>
        </w:rPr>
        <w:t xml:space="preserve">f-balance reserves of deposits. </w:t>
      </w:r>
    </w:p>
    <w:p w:rsidR="003D24A7" w:rsidRDefault="00B840E1" w:rsidP="00846164">
      <w:pPr>
        <w:tabs>
          <w:tab w:val="left" w:pos="426"/>
        </w:tabs>
        <w:autoSpaceDE w:val="0"/>
        <w:autoSpaceDN w:val="0"/>
        <w:adjustRightInd w:val="0"/>
        <w:ind w:left="-567" w:firstLine="709"/>
        <w:jc w:val="both"/>
        <w:rPr>
          <w:color w:val="000000"/>
          <w:sz w:val="22"/>
          <w:szCs w:val="22"/>
          <w:lang w:val="en-US"/>
        </w:rPr>
      </w:pPr>
      <w:r>
        <w:rPr>
          <w:color w:val="000000"/>
          <w:sz w:val="22"/>
          <w:szCs w:val="22"/>
          <w:lang w:val="en-US"/>
        </w:rPr>
        <w:t>TK</w:t>
      </w:r>
      <w:r w:rsidR="00846164" w:rsidRPr="00846164">
        <w:rPr>
          <w:color w:val="000000"/>
          <w:sz w:val="22"/>
          <w:szCs w:val="22"/>
          <w:lang w:val="en-US"/>
        </w:rPr>
        <w:t>S is at the initial stage of the implementation of investment projects</w:t>
      </w:r>
      <w:r w:rsidR="00846164">
        <w:rPr>
          <w:color w:val="000000"/>
          <w:sz w:val="22"/>
          <w:szCs w:val="22"/>
          <w:lang w:val="en-US"/>
        </w:rPr>
        <w:t>, which provides for the</w:t>
      </w:r>
      <w:r w:rsidR="00846164" w:rsidRPr="00846164">
        <w:rPr>
          <w:color w:val="000000"/>
          <w:sz w:val="22"/>
          <w:szCs w:val="22"/>
          <w:lang w:val="en-US"/>
        </w:rPr>
        <w:t xml:space="preserve"> develop</w:t>
      </w:r>
      <w:r w:rsidR="00846164">
        <w:rPr>
          <w:color w:val="000000"/>
          <w:sz w:val="22"/>
          <w:szCs w:val="22"/>
          <w:lang w:val="en-US"/>
        </w:rPr>
        <w:t>ment of</w:t>
      </w:r>
      <w:r w:rsidR="00846164" w:rsidRPr="00846164">
        <w:rPr>
          <w:color w:val="000000"/>
          <w:sz w:val="22"/>
          <w:szCs w:val="22"/>
          <w:lang w:val="en-US"/>
        </w:rPr>
        <w:t xml:space="preserve"> investment proposals, project financing for </w:t>
      </w:r>
      <w:r w:rsidR="00846164">
        <w:rPr>
          <w:color w:val="000000"/>
          <w:sz w:val="22"/>
          <w:szCs w:val="22"/>
          <w:lang w:val="en-US"/>
        </w:rPr>
        <w:t xml:space="preserve">conduct of geological </w:t>
      </w:r>
      <w:r w:rsidR="00846164" w:rsidRPr="00846164">
        <w:rPr>
          <w:color w:val="000000"/>
          <w:sz w:val="22"/>
          <w:szCs w:val="22"/>
          <w:lang w:val="en-US"/>
        </w:rPr>
        <w:t>exploration, development of feasibility studies, and search for strategic partners</w:t>
      </w:r>
      <w:r w:rsidR="003D24A7">
        <w:rPr>
          <w:color w:val="000000"/>
          <w:sz w:val="22"/>
          <w:szCs w:val="22"/>
          <w:lang w:val="en-US"/>
        </w:rPr>
        <w:t>.</w:t>
      </w:r>
    </w:p>
    <w:p w:rsidR="00846164" w:rsidRDefault="00570F06" w:rsidP="00846164">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There were the following </w:t>
      </w:r>
      <w:r w:rsidRPr="00570F06">
        <w:rPr>
          <w:b/>
          <w:color w:val="000000"/>
          <w:sz w:val="22"/>
          <w:szCs w:val="22"/>
          <w:lang w:val="en-US"/>
        </w:rPr>
        <w:t>significant events</w:t>
      </w:r>
      <w:r w:rsidRPr="00570F06">
        <w:rPr>
          <w:color w:val="000000"/>
          <w:sz w:val="22"/>
          <w:szCs w:val="22"/>
          <w:lang w:val="en-US"/>
        </w:rPr>
        <w:t xml:space="preserve"> that affected the performance of </w:t>
      </w:r>
      <w:r>
        <w:rPr>
          <w:color w:val="000000"/>
          <w:sz w:val="22"/>
          <w:szCs w:val="22"/>
          <w:lang w:val="en-US"/>
        </w:rPr>
        <w:t>TK</w:t>
      </w:r>
      <w:r w:rsidRPr="00570F06">
        <w:rPr>
          <w:color w:val="000000"/>
          <w:sz w:val="22"/>
          <w:szCs w:val="22"/>
          <w:lang w:val="en-US"/>
        </w:rPr>
        <w:t xml:space="preserve">S </w:t>
      </w:r>
      <w:r>
        <w:rPr>
          <w:color w:val="000000"/>
          <w:sz w:val="22"/>
          <w:szCs w:val="22"/>
          <w:lang w:val="en-US"/>
        </w:rPr>
        <w:t>i</w:t>
      </w:r>
      <w:r w:rsidRPr="00570F06">
        <w:rPr>
          <w:color w:val="000000"/>
          <w:sz w:val="22"/>
          <w:szCs w:val="22"/>
          <w:lang w:val="en-US"/>
        </w:rPr>
        <w:t>n the reporting period</w:t>
      </w:r>
      <w:r>
        <w:rPr>
          <w:color w:val="000000"/>
          <w:sz w:val="22"/>
          <w:szCs w:val="22"/>
          <w:lang w:val="en-US"/>
        </w:rPr>
        <w:t>:</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1) </w:t>
      </w:r>
      <w:proofErr w:type="gramStart"/>
      <w:r>
        <w:rPr>
          <w:color w:val="000000"/>
          <w:sz w:val="22"/>
          <w:szCs w:val="22"/>
          <w:lang w:val="en-US"/>
        </w:rPr>
        <w:t xml:space="preserve">On </w:t>
      </w:r>
      <w:r w:rsidRPr="00570F06">
        <w:rPr>
          <w:color w:val="000000"/>
          <w:sz w:val="22"/>
          <w:szCs w:val="22"/>
          <w:lang w:val="en-US"/>
        </w:rPr>
        <w:t xml:space="preserve"> February</w:t>
      </w:r>
      <w:proofErr w:type="gramEnd"/>
      <w:r w:rsidRPr="00570F06">
        <w:rPr>
          <w:color w:val="000000"/>
          <w:sz w:val="22"/>
          <w:szCs w:val="22"/>
          <w:lang w:val="en-US"/>
        </w:rPr>
        <w:t xml:space="preserve"> </w:t>
      </w:r>
      <w:r w:rsidR="00B840E1" w:rsidRPr="00570F06">
        <w:rPr>
          <w:color w:val="000000"/>
          <w:sz w:val="22"/>
          <w:szCs w:val="22"/>
          <w:lang w:val="en-US"/>
        </w:rPr>
        <w:t>7</w:t>
      </w:r>
      <w:r w:rsidR="00B840E1">
        <w:rPr>
          <w:color w:val="000000"/>
          <w:sz w:val="22"/>
          <w:szCs w:val="22"/>
          <w:lang w:val="en-US"/>
        </w:rPr>
        <w:t xml:space="preserve">, </w:t>
      </w:r>
      <w:r w:rsidRPr="00570F06">
        <w:rPr>
          <w:color w:val="000000"/>
          <w:sz w:val="22"/>
          <w:szCs w:val="22"/>
          <w:lang w:val="en-US"/>
        </w:rPr>
        <w:t xml:space="preserve">2012 </w:t>
      </w:r>
      <w:proofErr w:type="spellStart"/>
      <w:r w:rsidR="00C7561E" w:rsidRPr="00570F06">
        <w:rPr>
          <w:color w:val="000000"/>
          <w:sz w:val="22"/>
          <w:szCs w:val="22"/>
          <w:lang w:val="en-US"/>
        </w:rPr>
        <w:t>Turmagambetov</w:t>
      </w:r>
      <w:proofErr w:type="spellEnd"/>
      <w:r w:rsidR="00C7561E" w:rsidRPr="00570F06">
        <w:rPr>
          <w:color w:val="000000"/>
          <w:sz w:val="22"/>
          <w:szCs w:val="22"/>
          <w:lang w:val="en-US"/>
        </w:rPr>
        <w:t xml:space="preserve"> </w:t>
      </w:r>
      <w:proofErr w:type="spellStart"/>
      <w:r w:rsidR="00C7561E" w:rsidRPr="00570F06">
        <w:rPr>
          <w:color w:val="000000"/>
          <w:sz w:val="22"/>
          <w:szCs w:val="22"/>
          <w:lang w:val="en-US"/>
        </w:rPr>
        <w:t>Mazhit</w:t>
      </w:r>
      <w:proofErr w:type="spellEnd"/>
      <w:r w:rsidR="00C7561E" w:rsidRPr="00570F06">
        <w:rPr>
          <w:color w:val="000000"/>
          <w:sz w:val="22"/>
          <w:szCs w:val="22"/>
          <w:lang w:val="en-US"/>
        </w:rPr>
        <w:t xml:space="preserve"> </w:t>
      </w:r>
      <w:proofErr w:type="spellStart"/>
      <w:r w:rsidR="00C7561E" w:rsidRPr="00570F06">
        <w:rPr>
          <w:color w:val="000000"/>
          <w:sz w:val="22"/>
          <w:szCs w:val="22"/>
          <w:lang w:val="en-US"/>
        </w:rPr>
        <w:t>Abdikalikovich</w:t>
      </w:r>
      <w:proofErr w:type="spellEnd"/>
      <w:r w:rsidR="00C7561E" w:rsidRPr="00570F06">
        <w:rPr>
          <w:color w:val="000000"/>
          <w:sz w:val="22"/>
          <w:szCs w:val="22"/>
          <w:lang w:val="en-US"/>
        </w:rPr>
        <w:t xml:space="preserve"> </w:t>
      </w:r>
      <w:r w:rsidRPr="00570F06">
        <w:rPr>
          <w:color w:val="000000"/>
          <w:sz w:val="22"/>
          <w:szCs w:val="22"/>
          <w:lang w:val="en-US"/>
        </w:rPr>
        <w:t xml:space="preserve">was appointed </w:t>
      </w:r>
      <w:r w:rsidR="00C7561E">
        <w:rPr>
          <w:color w:val="000000"/>
          <w:sz w:val="22"/>
          <w:szCs w:val="22"/>
          <w:lang w:val="en-US"/>
        </w:rPr>
        <w:t>as the Chief Executive of TK</w:t>
      </w:r>
      <w:r w:rsidRPr="00570F06">
        <w:rPr>
          <w:color w:val="000000"/>
          <w:sz w:val="22"/>
          <w:szCs w:val="22"/>
          <w:lang w:val="en-US"/>
        </w:rPr>
        <w:t>S;</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lastRenderedPageBreak/>
        <w:t xml:space="preserve">2) </w:t>
      </w:r>
      <w:r w:rsidR="00B840E1">
        <w:rPr>
          <w:color w:val="000000"/>
          <w:sz w:val="22"/>
          <w:szCs w:val="22"/>
          <w:lang w:val="en-US"/>
        </w:rPr>
        <w:t>On</w:t>
      </w:r>
      <w:r w:rsidR="00C7561E">
        <w:rPr>
          <w:color w:val="000000"/>
          <w:sz w:val="22"/>
          <w:szCs w:val="22"/>
          <w:lang w:val="en-US"/>
        </w:rPr>
        <w:t xml:space="preserve"> </w:t>
      </w:r>
      <w:r w:rsidRPr="00570F06">
        <w:rPr>
          <w:color w:val="000000"/>
          <w:sz w:val="22"/>
          <w:szCs w:val="22"/>
          <w:lang w:val="en-US"/>
        </w:rPr>
        <w:t xml:space="preserve">June 22, 2012, </w:t>
      </w:r>
      <w:r w:rsidR="00C7561E">
        <w:rPr>
          <w:color w:val="000000"/>
          <w:sz w:val="22"/>
          <w:szCs w:val="22"/>
          <w:lang w:val="en-US"/>
        </w:rPr>
        <w:t>“Tau-Ken Project”</w:t>
      </w:r>
      <w:r w:rsidRPr="00570F06">
        <w:rPr>
          <w:color w:val="000000"/>
          <w:sz w:val="22"/>
          <w:szCs w:val="22"/>
          <w:lang w:val="en-US"/>
        </w:rPr>
        <w:t xml:space="preserve"> </w:t>
      </w:r>
      <w:r w:rsidR="00C7561E" w:rsidRPr="00570F06">
        <w:rPr>
          <w:color w:val="000000"/>
          <w:sz w:val="22"/>
          <w:szCs w:val="22"/>
          <w:lang w:val="en-US"/>
        </w:rPr>
        <w:t>LLP</w:t>
      </w:r>
      <w:r w:rsidR="00C7561E">
        <w:rPr>
          <w:color w:val="000000"/>
          <w:sz w:val="22"/>
          <w:szCs w:val="22"/>
          <w:lang w:val="en-US"/>
        </w:rPr>
        <w:t>,</w:t>
      </w:r>
      <w:r w:rsidR="00C7561E" w:rsidRPr="00570F06">
        <w:rPr>
          <w:color w:val="000000"/>
          <w:sz w:val="22"/>
          <w:szCs w:val="22"/>
          <w:lang w:val="en-US"/>
        </w:rPr>
        <w:t xml:space="preserve"> a joint venture </w:t>
      </w:r>
      <w:r w:rsidRPr="00570F06">
        <w:rPr>
          <w:color w:val="000000"/>
          <w:sz w:val="22"/>
          <w:szCs w:val="22"/>
          <w:lang w:val="en-US"/>
        </w:rPr>
        <w:t>with the German company Ablai Resources GmbH, was established to conduct the revaluation of mineral deposits in Kazakhstan in accordance with international standards such as JORC and NI143-10.</w:t>
      </w:r>
    </w:p>
    <w:p w:rsidR="00570F06" w:rsidRPr="00570F06" w:rsidRDefault="00C7561E" w:rsidP="00627857">
      <w:pPr>
        <w:tabs>
          <w:tab w:val="left" w:pos="426"/>
        </w:tabs>
        <w:autoSpaceDE w:val="0"/>
        <w:autoSpaceDN w:val="0"/>
        <w:adjustRightInd w:val="0"/>
        <w:ind w:left="-567" w:firstLine="709"/>
        <w:jc w:val="both"/>
        <w:rPr>
          <w:color w:val="000000"/>
          <w:sz w:val="22"/>
          <w:szCs w:val="22"/>
          <w:lang w:val="en-US"/>
        </w:rPr>
      </w:pPr>
      <w:r>
        <w:rPr>
          <w:color w:val="000000"/>
          <w:sz w:val="22"/>
          <w:szCs w:val="22"/>
          <w:lang w:val="en-US"/>
        </w:rPr>
        <w:t>To</w:t>
      </w:r>
      <w:r w:rsidR="00570F06" w:rsidRPr="00570F06">
        <w:rPr>
          <w:color w:val="000000"/>
          <w:sz w:val="22"/>
          <w:szCs w:val="22"/>
          <w:lang w:val="en-US"/>
        </w:rPr>
        <w:t>da</w:t>
      </w:r>
      <w:r>
        <w:rPr>
          <w:color w:val="000000"/>
          <w:sz w:val="22"/>
          <w:szCs w:val="22"/>
          <w:lang w:val="en-US"/>
        </w:rPr>
        <w:t>y, the activities of TK</w:t>
      </w:r>
      <w:r w:rsidR="00570F06" w:rsidRPr="00570F06">
        <w:rPr>
          <w:color w:val="000000"/>
          <w:sz w:val="22"/>
          <w:szCs w:val="22"/>
          <w:lang w:val="en-US"/>
        </w:rPr>
        <w:t>S in two business areas:</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creating refining production and ensuring its mineral resource base;</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 </w:t>
      </w:r>
      <w:proofErr w:type="gramStart"/>
      <w:r w:rsidRPr="00570F06">
        <w:rPr>
          <w:color w:val="000000"/>
          <w:sz w:val="22"/>
          <w:szCs w:val="22"/>
          <w:lang w:val="en-US"/>
        </w:rPr>
        <w:t>mining</w:t>
      </w:r>
      <w:proofErr w:type="gramEnd"/>
      <w:r w:rsidRPr="00570F06">
        <w:rPr>
          <w:color w:val="000000"/>
          <w:sz w:val="22"/>
          <w:szCs w:val="22"/>
          <w:lang w:val="en-US"/>
        </w:rPr>
        <w:t xml:space="preserve"> and processing of ores from the </w:t>
      </w:r>
      <w:proofErr w:type="spellStart"/>
      <w:r w:rsidR="00C7561E" w:rsidRPr="00570F06">
        <w:rPr>
          <w:color w:val="000000"/>
          <w:sz w:val="22"/>
          <w:szCs w:val="22"/>
          <w:lang w:val="en-US"/>
        </w:rPr>
        <w:t>Alaygyr</w:t>
      </w:r>
      <w:proofErr w:type="spellEnd"/>
      <w:r w:rsidR="00C7561E" w:rsidRPr="00570F06">
        <w:rPr>
          <w:color w:val="000000"/>
          <w:sz w:val="22"/>
          <w:szCs w:val="22"/>
          <w:lang w:val="en-US"/>
        </w:rPr>
        <w:t xml:space="preserve"> </w:t>
      </w:r>
      <w:r w:rsidRPr="00570F06">
        <w:rPr>
          <w:color w:val="000000"/>
          <w:sz w:val="22"/>
          <w:szCs w:val="22"/>
          <w:lang w:val="en-US"/>
        </w:rPr>
        <w:t>field.</w:t>
      </w:r>
    </w:p>
    <w:p w:rsidR="00570F06" w:rsidRPr="00570F06" w:rsidRDefault="00C7561E" w:rsidP="00627857">
      <w:pPr>
        <w:tabs>
          <w:tab w:val="left" w:pos="426"/>
        </w:tabs>
        <w:autoSpaceDE w:val="0"/>
        <w:autoSpaceDN w:val="0"/>
        <w:adjustRightInd w:val="0"/>
        <w:ind w:left="-567" w:firstLine="709"/>
        <w:jc w:val="both"/>
        <w:rPr>
          <w:color w:val="000000"/>
          <w:sz w:val="22"/>
          <w:szCs w:val="22"/>
          <w:lang w:val="en-US"/>
        </w:rPr>
      </w:pPr>
      <w:r>
        <w:rPr>
          <w:color w:val="000000"/>
          <w:sz w:val="22"/>
          <w:szCs w:val="22"/>
          <w:lang w:val="en-US"/>
        </w:rPr>
        <w:t>As of June 30, 2012 TK</w:t>
      </w:r>
      <w:r w:rsidR="00570F06" w:rsidRPr="00570F06">
        <w:rPr>
          <w:color w:val="000000"/>
          <w:sz w:val="22"/>
          <w:szCs w:val="22"/>
          <w:lang w:val="en-US"/>
        </w:rPr>
        <w:t>S has the following structure of assets:</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 </w:t>
      </w:r>
      <w:r w:rsidR="00C7561E">
        <w:rPr>
          <w:color w:val="000000"/>
          <w:sz w:val="22"/>
          <w:szCs w:val="22"/>
          <w:lang w:val="en-US"/>
        </w:rPr>
        <w:t>“</w:t>
      </w:r>
      <w:r w:rsidRPr="00570F06">
        <w:rPr>
          <w:color w:val="000000"/>
          <w:sz w:val="22"/>
          <w:szCs w:val="22"/>
          <w:lang w:val="en-US"/>
        </w:rPr>
        <w:t>Tau-Ken Altyn</w:t>
      </w:r>
      <w:r w:rsidR="00C7561E">
        <w:rPr>
          <w:color w:val="000000"/>
          <w:sz w:val="22"/>
          <w:szCs w:val="22"/>
          <w:lang w:val="en-US"/>
        </w:rPr>
        <w:t>”</w:t>
      </w:r>
      <w:r w:rsidRPr="00570F06">
        <w:rPr>
          <w:color w:val="000000"/>
          <w:sz w:val="22"/>
          <w:szCs w:val="22"/>
          <w:lang w:val="en-US"/>
        </w:rPr>
        <w:t xml:space="preserve"> </w:t>
      </w:r>
      <w:r w:rsidR="00C7561E" w:rsidRPr="00570F06">
        <w:rPr>
          <w:color w:val="000000"/>
          <w:sz w:val="22"/>
          <w:szCs w:val="22"/>
          <w:lang w:val="en-US"/>
        </w:rPr>
        <w:t xml:space="preserve">LLP </w:t>
      </w:r>
      <w:r w:rsidR="00C7561E">
        <w:rPr>
          <w:color w:val="000000"/>
          <w:sz w:val="22"/>
          <w:szCs w:val="22"/>
          <w:lang w:val="en-US"/>
        </w:rPr>
        <w:t>s</w:t>
      </w:r>
      <w:r w:rsidR="00C7561E" w:rsidRPr="00570F06">
        <w:rPr>
          <w:color w:val="000000"/>
          <w:sz w:val="22"/>
          <w:szCs w:val="22"/>
          <w:lang w:val="en-US"/>
        </w:rPr>
        <w:t xml:space="preserve">ubsidiary </w:t>
      </w:r>
      <w:r w:rsidRPr="00570F06">
        <w:rPr>
          <w:color w:val="000000"/>
          <w:sz w:val="22"/>
          <w:szCs w:val="22"/>
          <w:lang w:val="en-US"/>
        </w:rPr>
        <w:t>- 100%;</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 </w:t>
      </w:r>
      <w:r w:rsidR="00C7561E">
        <w:rPr>
          <w:color w:val="000000"/>
          <w:sz w:val="22"/>
          <w:szCs w:val="22"/>
          <w:lang w:val="en-US"/>
        </w:rPr>
        <w:t>“JV</w:t>
      </w:r>
      <w:r w:rsidRPr="00570F06">
        <w:rPr>
          <w:color w:val="000000"/>
          <w:sz w:val="22"/>
          <w:szCs w:val="22"/>
          <w:lang w:val="en-US"/>
        </w:rPr>
        <w:t xml:space="preserve"> </w:t>
      </w:r>
      <w:r w:rsidR="00C7561E">
        <w:rPr>
          <w:color w:val="000000"/>
          <w:sz w:val="22"/>
          <w:szCs w:val="22"/>
          <w:lang w:val="en-US"/>
        </w:rPr>
        <w:t>“</w:t>
      </w:r>
      <w:proofErr w:type="spellStart"/>
      <w:r w:rsidRPr="00570F06">
        <w:rPr>
          <w:color w:val="000000"/>
          <w:sz w:val="22"/>
          <w:szCs w:val="22"/>
          <w:lang w:val="en-US"/>
        </w:rPr>
        <w:t>Alaygyr</w:t>
      </w:r>
      <w:proofErr w:type="spellEnd"/>
      <w:r w:rsidR="00C7561E">
        <w:rPr>
          <w:color w:val="000000"/>
          <w:sz w:val="22"/>
          <w:szCs w:val="22"/>
          <w:lang w:val="en-US"/>
        </w:rPr>
        <w:t xml:space="preserve">” joint venture </w:t>
      </w:r>
      <w:r w:rsidRPr="00570F06">
        <w:rPr>
          <w:color w:val="000000"/>
          <w:sz w:val="22"/>
          <w:szCs w:val="22"/>
          <w:lang w:val="en-US"/>
        </w:rPr>
        <w:t>- 50%;</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 </w:t>
      </w:r>
      <w:r w:rsidR="00C7561E">
        <w:rPr>
          <w:color w:val="000000"/>
          <w:sz w:val="22"/>
          <w:szCs w:val="22"/>
          <w:lang w:val="en-US"/>
        </w:rPr>
        <w:t>“</w:t>
      </w:r>
      <w:r w:rsidRPr="00570F06">
        <w:rPr>
          <w:color w:val="000000"/>
          <w:sz w:val="22"/>
          <w:szCs w:val="22"/>
          <w:lang w:val="en-US"/>
        </w:rPr>
        <w:t>Tau-Ken Project</w:t>
      </w:r>
      <w:r w:rsidR="00C7561E">
        <w:rPr>
          <w:color w:val="000000"/>
          <w:sz w:val="22"/>
          <w:szCs w:val="22"/>
          <w:lang w:val="en-US"/>
        </w:rPr>
        <w:t>”</w:t>
      </w:r>
      <w:r w:rsidR="00C7561E" w:rsidRPr="00C7561E">
        <w:rPr>
          <w:color w:val="000000"/>
          <w:sz w:val="22"/>
          <w:szCs w:val="22"/>
          <w:lang w:val="en-US"/>
        </w:rPr>
        <w:t xml:space="preserve"> </w:t>
      </w:r>
      <w:r w:rsidR="00C7561E">
        <w:rPr>
          <w:color w:val="000000"/>
          <w:sz w:val="22"/>
          <w:szCs w:val="22"/>
          <w:lang w:val="en-US"/>
        </w:rPr>
        <w:t>LLP</w:t>
      </w:r>
      <w:r w:rsidRPr="00570F06">
        <w:rPr>
          <w:color w:val="000000"/>
          <w:sz w:val="22"/>
          <w:szCs w:val="22"/>
          <w:lang w:val="en-US"/>
        </w:rPr>
        <w:t xml:space="preserve"> </w:t>
      </w:r>
      <w:r w:rsidR="00C7561E" w:rsidRPr="00570F06">
        <w:rPr>
          <w:color w:val="000000"/>
          <w:sz w:val="22"/>
          <w:szCs w:val="22"/>
          <w:lang w:val="en-US"/>
        </w:rPr>
        <w:t xml:space="preserve">joint venture </w:t>
      </w:r>
      <w:r w:rsidR="00C7561E">
        <w:rPr>
          <w:color w:val="000000"/>
          <w:sz w:val="22"/>
          <w:szCs w:val="22"/>
          <w:lang w:val="en-US"/>
        </w:rPr>
        <w:t>-</w:t>
      </w:r>
      <w:r w:rsidRPr="00570F06">
        <w:rPr>
          <w:color w:val="000000"/>
          <w:sz w:val="22"/>
          <w:szCs w:val="22"/>
          <w:lang w:val="en-US"/>
        </w:rPr>
        <w:t xml:space="preserve"> 50%.</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At the end of the reporting period, the actual average number </w:t>
      </w:r>
      <w:r w:rsidR="008043D8">
        <w:rPr>
          <w:color w:val="000000"/>
          <w:sz w:val="22"/>
          <w:szCs w:val="22"/>
          <w:lang w:val="en-US"/>
        </w:rPr>
        <w:t xml:space="preserve">of staff </w:t>
      </w:r>
      <w:r w:rsidRPr="00570F06">
        <w:rPr>
          <w:color w:val="000000"/>
          <w:sz w:val="22"/>
          <w:szCs w:val="22"/>
          <w:lang w:val="en-US"/>
        </w:rPr>
        <w:t xml:space="preserve">was 73 people, which is 9 points higher compared to the same period </w:t>
      </w:r>
      <w:r w:rsidR="008043D8">
        <w:rPr>
          <w:color w:val="000000"/>
          <w:sz w:val="22"/>
          <w:szCs w:val="22"/>
          <w:lang w:val="en-US"/>
        </w:rPr>
        <w:t xml:space="preserve">of </w:t>
      </w:r>
      <w:r w:rsidRPr="00570F06">
        <w:rPr>
          <w:color w:val="000000"/>
          <w:sz w:val="22"/>
          <w:szCs w:val="22"/>
          <w:lang w:val="en-US"/>
        </w:rPr>
        <w:t>last year (64 people). Growth is due to the following factors:</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 beginning of the </w:t>
      </w:r>
      <w:r w:rsidR="008043D8">
        <w:rPr>
          <w:color w:val="000000"/>
          <w:sz w:val="22"/>
          <w:szCs w:val="22"/>
          <w:lang w:val="en-US"/>
        </w:rPr>
        <w:t>staffing</w:t>
      </w:r>
      <w:r w:rsidRPr="00570F06">
        <w:rPr>
          <w:color w:val="000000"/>
          <w:sz w:val="22"/>
          <w:szCs w:val="22"/>
          <w:lang w:val="en-US"/>
        </w:rPr>
        <w:t xml:space="preserve"> of </w:t>
      </w:r>
      <w:r w:rsidR="008043D8">
        <w:rPr>
          <w:color w:val="000000"/>
          <w:sz w:val="22"/>
          <w:szCs w:val="22"/>
          <w:lang w:val="en-US"/>
        </w:rPr>
        <w:t>“</w:t>
      </w:r>
      <w:r w:rsidRPr="00570F06">
        <w:rPr>
          <w:color w:val="000000"/>
          <w:sz w:val="22"/>
          <w:szCs w:val="22"/>
          <w:lang w:val="en-US"/>
        </w:rPr>
        <w:t>Tau-Ken Altyn</w:t>
      </w:r>
      <w:r w:rsidR="008043D8">
        <w:rPr>
          <w:color w:val="000000"/>
          <w:sz w:val="22"/>
          <w:szCs w:val="22"/>
          <w:lang w:val="en-US"/>
        </w:rPr>
        <w:t>” LLP</w:t>
      </w:r>
      <w:r w:rsidRPr="00570F06">
        <w:rPr>
          <w:color w:val="000000"/>
          <w:sz w:val="22"/>
          <w:szCs w:val="22"/>
          <w:lang w:val="en-US"/>
        </w:rPr>
        <w:t xml:space="preserve"> since February this ye</w:t>
      </w:r>
      <w:r w:rsidR="008043D8">
        <w:rPr>
          <w:color w:val="000000"/>
          <w:sz w:val="22"/>
          <w:szCs w:val="22"/>
          <w:lang w:val="en-US"/>
        </w:rPr>
        <w:t>ar, the average number on which</w:t>
      </w:r>
      <w:r w:rsidRPr="00570F06">
        <w:rPr>
          <w:color w:val="000000"/>
          <w:sz w:val="22"/>
          <w:szCs w:val="22"/>
          <w:lang w:val="en-US"/>
        </w:rPr>
        <w:t xml:space="preserve"> in the reporting period amounted to 5 units;</w:t>
      </w:r>
    </w:p>
    <w:p w:rsidR="00570F06" w:rsidRP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beginning of the active phase of the implementation of investment projects.</w:t>
      </w:r>
    </w:p>
    <w:p w:rsidR="00570F06" w:rsidRDefault="00570F06" w:rsidP="00627857">
      <w:pPr>
        <w:tabs>
          <w:tab w:val="left" w:pos="426"/>
        </w:tabs>
        <w:autoSpaceDE w:val="0"/>
        <w:autoSpaceDN w:val="0"/>
        <w:adjustRightInd w:val="0"/>
        <w:ind w:left="-567" w:firstLine="709"/>
        <w:jc w:val="both"/>
        <w:rPr>
          <w:color w:val="000000"/>
          <w:sz w:val="22"/>
          <w:szCs w:val="22"/>
          <w:lang w:val="en-US"/>
        </w:rPr>
      </w:pPr>
      <w:r w:rsidRPr="00570F06">
        <w:rPr>
          <w:color w:val="000000"/>
          <w:sz w:val="22"/>
          <w:szCs w:val="22"/>
          <w:lang w:val="en-US"/>
        </w:rPr>
        <w:t xml:space="preserve">In the first half of 2011, with staff numbers </w:t>
      </w:r>
      <w:r w:rsidR="008043D8">
        <w:rPr>
          <w:color w:val="000000"/>
          <w:sz w:val="22"/>
          <w:szCs w:val="22"/>
          <w:lang w:val="en-US"/>
        </w:rPr>
        <w:t>amounted to</w:t>
      </w:r>
      <w:r w:rsidRPr="00570F06">
        <w:rPr>
          <w:color w:val="000000"/>
          <w:sz w:val="22"/>
          <w:szCs w:val="22"/>
          <w:lang w:val="en-US"/>
        </w:rPr>
        <w:t xml:space="preserve"> 75, the assembly of state had been suspended before the active phase of implementation of investment projects</w:t>
      </w:r>
      <w:r w:rsidR="008043D8">
        <w:rPr>
          <w:color w:val="000000"/>
          <w:sz w:val="22"/>
          <w:szCs w:val="22"/>
          <w:lang w:val="en-US"/>
        </w:rPr>
        <w:t>.</w:t>
      </w:r>
    </w:p>
    <w:p w:rsidR="00E908D0" w:rsidRDefault="000E789C" w:rsidP="003D24A7">
      <w:pPr>
        <w:tabs>
          <w:tab w:val="left" w:pos="426"/>
        </w:tabs>
        <w:autoSpaceDE w:val="0"/>
        <w:autoSpaceDN w:val="0"/>
        <w:adjustRightInd w:val="0"/>
        <w:ind w:left="-567" w:firstLine="709"/>
        <w:jc w:val="both"/>
        <w:rPr>
          <w:sz w:val="22"/>
          <w:szCs w:val="22"/>
          <w:lang w:val="en-US"/>
        </w:rPr>
      </w:pPr>
      <w:r>
        <w:rPr>
          <w:color w:val="000000"/>
          <w:sz w:val="22"/>
          <w:szCs w:val="22"/>
          <w:lang w:val="en-US"/>
        </w:rPr>
        <w:t xml:space="preserve"> </w:t>
      </w:r>
      <w:r w:rsidRPr="000E789C">
        <w:rPr>
          <w:b/>
          <w:color w:val="000000"/>
          <w:sz w:val="22"/>
          <w:szCs w:val="22"/>
          <w:lang w:val="en-US"/>
        </w:rPr>
        <w:t>“United Chemical Company” LLP</w:t>
      </w:r>
      <w:r>
        <w:rPr>
          <w:color w:val="000000"/>
          <w:sz w:val="22"/>
          <w:szCs w:val="22"/>
          <w:lang w:val="en-US"/>
        </w:rPr>
        <w:t xml:space="preserve"> </w:t>
      </w:r>
      <w:r>
        <w:rPr>
          <w:b/>
          <w:sz w:val="22"/>
          <w:szCs w:val="22"/>
          <w:lang w:val="en-US"/>
        </w:rPr>
        <w:t xml:space="preserve">(hereinafter – </w:t>
      </w:r>
      <w:r w:rsidR="002664E4">
        <w:rPr>
          <w:b/>
          <w:sz w:val="22"/>
          <w:szCs w:val="22"/>
          <w:lang w:val="en-US"/>
        </w:rPr>
        <w:t>UCC</w:t>
      </w:r>
      <w:r>
        <w:rPr>
          <w:b/>
          <w:sz w:val="22"/>
          <w:szCs w:val="22"/>
          <w:lang w:val="en-US"/>
        </w:rPr>
        <w:t>)</w:t>
      </w:r>
      <w:r w:rsidR="002664E4" w:rsidRPr="00F96507">
        <w:rPr>
          <w:sz w:val="22"/>
          <w:szCs w:val="22"/>
          <w:lang w:val="en-US"/>
        </w:rPr>
        <w:t xml:space="preserve"> </w:t>
      </w:r>
      <w:r w:rsidR="002664E4">
        <w:rPr>
          <w:sz w:val="22"/>
          <w:szCs w:val="22"/>
          <w:lang w:val="en-US"/>
        </w:rPr>
        <w:t xml:space="preserve">is </w:t>
      </w:r>
      <w:r w:rsidR="002664E4" w:rsidRPr="00F96507">
        <w:rPr>
          <w:sz w:val="22"/>
          <w:szCs w:val="22"/>
          <w:lang w:val="en-US"/>
        </w:rPr>
        <w:t xml:space="preserve">formed </w:t>
      </w:r>
      <w:r w:rsidR="002664E4">
        <w:rPr>
          <w:sz w:val="22"/>
          <w:szCs w:val="22"/>
          <w:lang w:val="en-US"/>
        </w:rPr>
        <w:t xml:space="preserve">pursuant </w:t>
      </w:r>
      <w:r w:rsidR="002664E4" w:rsidRPr="00F96507">
        <w:rPr>
          <w:sz w:val="22"/>
          <w:szCs w:val="22"/>
          <w:lang w:val="en-US"/>
        </w:rPr>
        <w:t xml:space="preserve">to the </w:t>
      </w:r>
      <w:r w:rsidR="002664E4">
        <w:rPr>
          <w:sz w:val="22"/>
          <w:szCs w:val="22"/>
          <w:lang w:val="en-US"/>
        </w:rPr>
        <w:t>instruction</w:t>
      </w:r>
      <w:r w:rsidR="002664E4" w:rsidRPr="00F96507">
        <w:rPr>
          <w:sz w:val="22"/>
          <w:szCs w:val="22"/>
          <w:lang w:val="en-US"/>
        </w:rPr>
        <w:t xml:space="preserve"> of the President of the Republic of Kazakhstan </w:t>
      </w:r>
      <w:r w:rsidR="002664E4">
        <w:rPr>
          <w:sz w:val="22"/>
          <w:szCs w:val="22"/>
          <w:lang w:val="en-US"/>
        </w:rPr>
        <w:t xml:space="preserve">“on </w:t>
      </w:r>
      <w:r w:rsidR="002664E4" w:rsidRPr="00F96507">
        <w:rPr>
          <w:sz w:val="22"/>
          <w:szCs w:val="22"/>
          <w:lang w:val="en-US"/>
        </w:rPr>
        <w:t>creation of a special company that will deal with projects of the chemical industry</w:t>
      </w:r>
      <w:r w:rsidR="002664E4">
        <w:rPr>
          <w:sz w:val="22"/>
          <w:szCs w:val="22"/>
          <w:lang w:val="en-US"/>
        </w:rPr>
        <w:t>”</w:t>
      </w:r>
      <w:r w:rsidR="002664E4" w:rsidRPr="00F96507">
        <w:rPr>
          <w:sz w:val="22"/>
          <w:szCs w:val="22"/>
          <w:lang w:val="en-US"/>
        </w:rPr>
        <w:t>, given during the expanded meeting of the Government of the R</w:t>
      </w:r>
      <w:r w:rsidR="002664E4">
        <w:rPr>
          <w:sz w:val="22"/>
          <w:szCs w:val="22"/>
          <w:lang w:val="en-US"/>
        </w:rPr>
        <w:t xml:space="preserve">epublic of </w:t>
      </w:r>
      <w:r w:rsidR="002664E4" w:rsidRPr="00F96507">
        <w:rPr>
          <w:sz w:val="22"/>
          <w:szCs w:val="22"/>
          <w:lang w:val="en-US"/>
        </w:rPr>
        <w:t>K</w:t>
      </w:r>
      <w:r w:rsidR="002664E4">
        <w:rPr>
          <w:sz w:val="22"/>
          <w:szCs w:val="22"/>
          <w:lang w:val="en-US"/>
        </w:rPr>
        <w:t>azakhstan dated</w:t>
      </w:r>
      <w:r w:rsidR="002664E4" w:rsidRPr="00F96507">
        <w:rPr>
          <w:sz w:val="22"/>
          <w:szCs w:val="22"/>
          <w:lang w:val="en-US"/>
        </w:rPr>
        <w:t xml:space="preserve"> October 13, 2008. </w:t>
      </w:r>
    </w:p>
    <w:p w:rsidR="007B37D3" w:rsidRPr="007B37D3" w:rsidRDefault="007B37D3" w:rsidP="007B37D3">
      <w:pPr>
        <w:ind w:left="-567" w:firstLine="567"/>
        <w:jc w:val="both"/>
        <w:rPr>
          <w:sz w:val="22"/>
          <w:szCs w:val="22"/>
          <w:lang w:val="en-US"/>
        </w:rPr>
      </w:pPr>
      <w:r>
        <w:rPr>
          <w:sz w:val="22"/>
          <w:szCs w:val="22"/>
          <w:lang w:val="en-US"/>
        </w:rPr>
        <w:t xml:space="preserve">The </w:t>
      </w:r>
      <w:r w:rsidRPr="007B37D3">
        <w:rPr>
          <w:sz w:val="22"/>
          <w:szCs w:val="22"/>
          <w:lang w:val="en-US"/>
        </w:rPr>
        <w:t xml:space="preserve">UCC is a holding structure that </w:t>
      </w:r>
      <w:r>
        <w:rPr>
          <w:sz w:val="22"/>
          <w:szCs w:val="22"/>
          <w:lang w:val="en-US"/>
        </w:rPr>
        <w:t>promotes</w:t>
      </w:r>
      <w:r w:rsidRPr="007B37D3">
        <w:rPr>
          <w:sz w:val="22"/>
          <w:szCs w:val="22"/>
          <w:lang w:val="en-US"/>
        </w:rPr>
        <w:t xml:space="preserve"> the development of chemical industry in Kazakhstan through the </w:t>
      </w:r>
      <w:r>
        <w:rPr>
          <w:sz w:val="22"/>
          <w:szCs w:val="22"/>
          <w:lang w:val="en-US"/>
        </w:rPr>
        <w:t>elaboration</w:t>
      </w:r>
      <w:r w:rsidRPr="007B37D3">
        <w:rPr>
          <w:sz w:val="22"/>
          <w:szCs w:val="22"/>
          <w:lang w:val="en-US"/>
        </w:rPr>
        <w:t xml:space="preserve"> and implementation of investment projects aimed at in-depth processing of domestic </w:t>
      </w:r>
      <w:r>
        <w:rPr>
          <w:sz w:val="22"/>
          <w:szCs w:val="22"/>
          <w:lang w:val="en-US"/>
        </w:rPr>
        <w:t>hydrocarbon</w:t>
      </w:r>
      <w:r w:rsidRPr="007B37D3">
        <w:rPr>
          <w:sz w:val="22"/>
          <w:szCs w:val="22"/>
          <w:lang w:val="en-US"/>
        </w:rPr>
        <w:t xml:space="preserve"> and mineral resources for the production of modern chemical products </w:t>
      </w:r>
      <w:r>
        <w:rPr>
          <w:sz w:val="22"/>
          <w:szCs w:val="22"/>
          <w:lang w:val="en-US"/>
        </w:rPr>
        <w:t xml:space="preserve">which are </w:t>
      </w:r>
      <w:r w:rsidRPr="007B37D3">
        <w:rPr>
          <w:sz w:val="22"/>
          <w:szCs w:val="22"/>
          <w:lang w:val="en-US"/>
        </w:rPr>
        <w:t>highly sought</w:t>
      </w:r>
      <w:r>
        <w:rPr>
          <w:sz w:val="22"/>
          <w:szCs w:val="22"/>
          <w:lang w:val="en-US"/>
        </w:rPr>
        <w:t xml:space="preserve"> in the</w:t>
      </w:r>
      <w:r w:rsidRPr="007B37D3">
        <w:rPr>
          <w:sz w:val="22"/>
          <w:szCs w:val="22"/>
          <w:lang w:val="en-US"/>
        </w:rPr>
        <w:t xml:space="preserve"> local and international market</w:t>
      </w:r>
      <w:r>
        <w:rPr>
          <w:sz w:val="22"/>
          <w:szCs w:val="22"/>
          <w:lang w:val="en-US"/>
        </w:rPr>
        <w:t>s</w:t>
      </w:r>
      <w:r w:rsidRPr="007B37D3">
        <w:rPr>
          <w:sz w:val="22"/>
          <w:szCs w:val="22"/>
          <w:lang w:val="en-US"/>
        </w:rPr>
        <w:t>.</w:t>
      </w:r>
    </w:p>
    <w:p w:rsidR="007B37D3" w:rsidRPr="007B37D3" w:rsidRDefault="007B37D3" w:rsidP="007B37D3">
      <w:pPr>
        <w:ind w:left="-567" w:firstLine="567"/>
        <w:jc w:val="both"/>
        <w:rPr>
          <w:sz w:val="22"/>
          <w:szCs w:val="22"/>
          <w:lang w:val="en-US"/>
        </w:rPr>
      </w:pPr>
      <w:r w:rsidRPr="007B37D3">
        <w:rPr>
          <w:sz w:val="22"/>
          <w:szCs w:val="22"/>
          <w:lang w:val="en-US"/>
        </w:rPr>
        <w:t xml:space="preserve">Currently, </w:t>
      </w:r>
      <w:r>
        <w:rPr>
          <w:sz w:val="22"/>
          <w:szCs w:val="22"/>
          <w:lang w:val="en-US"/>
        </w:rPr>
        <w:t xml:space="preserve">the </w:t>
      </w:r>
      <w:r w:rsidRPr="007B37D3">
        <w:rPr>
          <w:sz w:val="22"/>
          <w:szCs w:val="22"/>
          <w:lang w:val="en-US"/>
        </w:rPr>
        <w:t>UCC participates in the following projects:</w:t>
      </w:r>
    </w:p>
    <w:p w:rsidR="007B37D3" w:rsidRPr="00FD62DA" w:rsidRDefault="007B37D3" w:rsidP="00627857">
      <w:pPr>
        <w:pStyle w:val="a3"/>
        <w:numPr>
          <w:ilvl w:val="0"/>
          <w:numId w:val="34"/>
        </w:numPr>
        <w:tabs>
          <w:tab w:val="left" w:pos="284"/>
        </w:tabs>
        <w:ind w:left="-567" w:firstLine="709"/>
        <w:jc w:val="both"/>
        <w:rPr>
          <w:sz w:val="22"/>
          <w:szCs w:val="22"/>
          <w:lang w:val="en-US"/>
        </w:rPr>
      </w:pPr>
      <w:r w:rsidRPr="00FD62DA">
        <w:rPr>
          <w:sz w:val="22"/>
          <w:szCs w:val="22"/>
          <w:lang w:val="en-US"/>
        </w:rPr>
        <w:t xml:space="preserve">reconstruction of the sulfuric acid plant with the </w:t>
      </w:r>
      <w:r w:rsidR="0077204C" w:rsidRPr="00FD62DA">
        <w:rPr>
          <w:sz w:val="22"/>
          <w:szCs w:val="22"/>
          <w:lang w:val="en-US"/>
        </w:rPr>
        <w:t xml:space="preserve">production capacity of 180 </w:t>
      </w:r>
      <w:r w:rsidRPr="00FD62DA">
        <w:rPr>
          <w:sz w:val="22"/>
          <w:szCs w:val="22"/>
          <w:lang w:val="en-US"/>
        </w:rPr>
        <w:t xml:space="preserve">000 tons per year in </w:t>
      </w:r>
      <w:proofErr w:type="spellStart"/>
      <w:r w:rsidRPr="00FD62DA">
        <w:rPr>
          <w:sz w:val="22"/>
          <w:szCs w:val="22"/>
          <w:lang w:val="en-US"/>
        </w:rPr>
        <w:t>Stepnogorsk</w:t>
      </w:r>
      <w:proofErr w:type="spellEnd"/>
      <w:r w:rsidRPr="00FD62DA">
        <w:rPr>
          <w:sz w:val="22"/>
          <w:szCs w:val="22"/>
          <w:lang w:val="en-US"/>
        </w:rPr>
        <w:t xml:space="preserve"> town;</w:t>
      </w:r>
    </w:p>
    <w:p w:rsidR="007B37D3" w:rsidRPr="00FD62DA" w:rsidRDefault="007B37D3" w:rsidP="00627857">
      <w:pPr>
        <w:pStyle w:val="a3"/>
        <w:numPr>
          <w:ilvl w:val="0"/>
          <w:numId w:val="34"/>
        </w:numPr>
        <w:tabs>
          <w:tab w:val="left" w:pos="284"/>
        </w:tabs>
        <w:ind w:left="-567" w:firstLine="709"/>
        <w:jc w:val="both"/>
        <w:rPr>
          <w:sz w:val="22"/>
          <w:szCs w:val="22"/>
          <w:lang w:val="en-US"/>
        </w:rPr>
      </w:pPr>
      <w:r w:rsidRPr="00FD62DA">
        <w:rPr>
          <w:sz w:val="22"/>
          <w:szCs w:val="22"/>
          <w:lang w:val="en-US"/>
        </w:rPr>
        <w:t>reconstruction of the suspension-flotation plant for the production of phosphate concentrate</w:t>
      </w:r>
      <w:r w:rsidR="00FD62DA" w:rsidRPr="00FD62DA">
        <w:rPr>
          <w:sz w:val="22"/>
          <w:szCs w:val="22"/>
          <w:lang w:val="en-US"/>
        </w:rPr>
        <w:t>;</w:t>
      </w:r>
    </w:p>
    <w:p w:rsidR="00FD62DA" w:rsidRPr="00FD62DA" w:rsidRDefault="00FD62DA" w:rsidP="00627857">
      <w:pPr>
        <w:pStyle w:val="a3"/>
        <w:numPr>
          <w:ilvl w:val="0"/>
          <w:numId w:val="34"/>
        </w:numPr>
        <w:tabs>
          <w:tab w:val="left" w:pos="284"/>
        </w:tabs>
        <w:ind w:left="-567" w:firstLine="709"/>
        <w:jc w:val="both"/>
        <w:rPr>
          <w:sz w:val="22"/>
          <w:szCs w:val="22"/>
          <w:lang w:val="en-US"/>
        </w:rPr>
      </w:pPr>
      <w:r w:rsidRPr="00FD62DA">
        <w:rPr>
          <w:sz w:val="22"/>
          <w:szCs w:val="22"/>
          <w:lang w:val="en-US"/>
        </w:rPr>
        <w:t>construction of an integrated chemical complex in Atyrau region - Phase 1;</w:t>
      </w:r>
    </w:p>
    <w:p w:rsidR="00FD62DA" w:rsidRPr="00FD62DA" w:rsidRDefault="00FD62DA" w:rsidP="00627857">
      <w:pPr>
        <w:pStyle w:val="a3"/>
        <w:numPr>
          <w:ilvl w:val="0"/>
          <w:numId w:val="34"/>
        </w:numPr>
        <w:tabs>
          <w:tab w:val="left" w:pos="284"/>
        </w:tabs>
        <w:ind w:left="-567" w:firstLine="709"/>
        <w:jc w:val="both"/>
        <w:rPr>
          <w:sz w:val="22"/>
          <w:szCs w:val="22"/>
          <w:lang w:val="en-US"/>
        </w:rPr>
      </w:pPr>
      <w:r w:rsidRPr="00FD62DA">
        <w:rPr>
          <w:sz w:val="22"/>
          <w:szCs w:val="22"/>
          <w:lang w:val="en-US"/>
        </w:rPr>
        <w:t>construction of an integrated chemical complex in Atyrau region - Phase 2;</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In addition, a feasibility study for the following projects</w:t>
      </w:r>
      <w:r>
        <w:rPr>
          <w:sz w:val="22"/>
          <w:szCs w:val="22"/>
          <w:lang w:val="en-US"/>
        </w:rPr>
        <w:t xml:space="preserve"> is under development</w:t>
      </w:r>
      <w:r w:rsidRPr="00FD62DA">
        <w:rPr>
          <w:sz w:val="22"/>
          <w:szCs w:val="22"/>
          <w:lang w:val="en-US"/>
        </w:rPr>
        <w:t>:</w:t>
      </w:r>
    </w:p>
    <w:p w:rsidR="00FD62DA" w:rsidRPr="00FD62DA" w:rsidRDefault="00FD62DA" w:rsidP="00627857">
      <w:pPr>
        <w:tabs>
          <w:tab w:val="left" w:pos="284"/>
        </w:tabs>
        <w:ind w:left="-567" w:firstLine="709"/>
        <w:jc w:val="both"/>
        <w:rPr>
          <w:sz w:val="22"/>
          <w:szCs w:val="22"/>
          <w:lang w:val="en-US"/>
        </w:rPr>
      </w:pPr>
      <w:r>
        <w:rPr>
          <w:sz w:val="22"/>
          <w:szCs w:val="22"/>
          <w:lang w:val="en-US"/>
        </w:rPr>
        <w:t xml:space="preserve">• </w:t>
      </w:r>
      <w:proofErr w:type="gramStart"/>
      <w:r w:rsidRPr="00FD62DA">
        <w:rPr>
          <w:sz w:val="22"/>
          <w:szCs w:val="22"/>
          <w:lang w:val="en-US"/>
        </w:rPr>
        <w:t>production</w:t>
      </w:r>
      <w:proofErr w:type="gramEnd"/>
      <w:r w:rsidRPr="00FD62DA">
        <w:rPr>
          <w:sz w:val="22"/>
          <w:szCs w:val="22"/>
          <w:lang w:val="en-US"/>
        </w:rPr>
        <w:t xml:space="preserve"> of phosphorus </w:t>
      </w:r>
      <w:proofErr w:type="spellStart"/>
      <w:r w:rsidRPr="00FD62DA">
        <w:rPr>
          <w:sz w:val="22"/>
          <w:szCs w:val="22"/>
          <w:lang w:val="en-US"/>
        </w:rPr>
        <w:t>trichloride</w:t>
      </w:r>
      <w:proofErr w:type="spellEnd"/>
      <w:r w:rsidRPr="00FD62DA">
        <w:rPr>
          <w:sz w:val="22"/>
          <w:szCs w:val="22"/>
          <w:lang w:val="en-US"/>
        </w:rPr>
        <w:t>;</w:t>
      </w:r>
    </w:p>
    <w:p w:rsidR="00FD62DA" w:rsidRPr="00FD62DA" w:rsidRDefault="00FD62DA" w:rsidP="00627857">
      <w:pPr>
        <w:tabs>
          <w:tab w:val="left" w:pos="284"/>
        </w:tabs>
        <w:ind w:left="-567" w:firstLine="709"/>
        <w:jc w:val="both"/>
        <w:rPr>
          <w:sz w:val="22"/>
          <w:szCs w:val="22"/>
          <w:lang w:val="en-US"/>
        </w:rPr>
      </w:pPr>
      <w:r>
        <w:rPr>
          <w:sz w:val="22"/>
          <w:szCs w:val="22"/>
          <w:lang w:val="en-US"/>
        </w:rPr>
        <w:t xml:space="preserve">• </w:t>
      </w:r>
      <w:proofErr w:type="gramStart"/>
      <w:r w:rsidRPr="00FD62DA">
        <w:rPr>
          <w:sz w:val="22"/>
          <w:szCs w:val="22"/>
          <w:lang w:val="en-US"/>
        </w:rPr>
        <w:t>producti</w:t>
      </w:r>
      <w:r>
        <w:rPr>
          <w:sz w:val="22"/>
          <w:szCs w:val="22"/>
          <w:lang w:val="en-US"/>
        </w:rPr>
        <w:t>on</w:t>
      </w:r>
      <w:proofErr w:type="gramEnd"/>
      <w:r>
        <w:rPr>
          <w:sz w:val="22"/>
          <w:szCs w:val="22"/>
          <w:lang w:val="en-US"/>
        </w:rPr>
        <w:t xml:space="preserve"> of caustic soda and chlorine</w:t>
      </w:r>
      <w:r w:rsidRPr="00FD62DA">
        <w:rPr>
          <w:sz w:val="22"/>
          <w:szCs w:val="22"/>
          <w:lang w:val="en-US"/>
        </w:rPr>
        <w:t>;</w:t>
      </w:r>
    </w:p>
    <w:p w:rsidR="00FD62DA" w:rsidRPr="00FD62DA" w:rsidRDefault="00FD62DA" w:rsidP="00627857">
      <w:pPr>
        <w:tabs>
          <w:tab w:val="left" w:pos="284"/>
        </w:tabs>
        <w:ind w:left="-567" w:firstLine="709"/>
        <w:jc w:val="both"/>
        <w:rPr>
          <w:sz w:val="22"/>
          <w:szCs w:val="22"/>
          <w:lang w:val="en-US"/>
        </w:rPr>
      </w:pPr>
      <w:r>
        <w:rPr>
          <w:sz w:val="22"/>
          <w:szCs w:val="22"/>
          <w:lang w:val="en-US"/>
        </w:rPr>
        <w:t xml:space="preserve">• </w:t>
      </w:r>
      <w:proofErr w:type="gramStart"/>
      <w:r>
        <w:rPr>
          <w:sz w:val="22"/>
          <w:szCs w:val="22"/>
          <w:lang w:val="en-US"/>
        </w:rPr>
        <w:t>production</w:t>
      </w:r>
      <w:proofErr w:type="gramEnd"/>
      <w:r>
        <w:rPr>
          <w:sz w:val="22"/>
          <w:szCs w:val="22"/>
          <w:lang w:val="en-US"/>
        </w:rPr>
        <w:t xml:space="preserve"> of glyphosate (</w:t>
      </w:r>
      <w:r w:rsidRPr="00FD62DA">
        <w:rPr>
          <w:sz w:val="22"/>
          <w:szCs w:val="22"/>
          <w:lang w:val="en-US"/>
        </w:rPr>
        <w:t>herbicide);</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 xml:space="preserve">• </w:t>
      </w:r>
      <w:proofErr w:type="gramStart"/>
      <w:r w:rsidRPr="00FD62DA">
        <w:rPr>
          <w:sz w:val="22"/>
          <w:szCs w:val="22"/>
          <w:lang w:val="en-US"/>
        </w:rPr>
        <w:t>production</w:t>
      </w:r>
      <w:proofErr w:type="gramEnd"/>
      <w:r w:rsidRPr="00FD62DA">
        <w:rPr>
          <w:sz w:val="22"/>
          <w:szCs w:val="22"/>
          <w:lang w:val="en-US"/>
        </w:rPr>
        <w:t xml:space="preserve"> of hydro</w:t>
      </w:r>
      <w:r>
        <w:rPr>
          <w:sz w:val="22"/>
          <w:szCs w:val="22"/>
          <w:lang w:val="en-US"/>
        </w:rPr>
        <w:t>cyanic acid and sodium cyanide.</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 xml:space="preserve">In the structure of UCC </w:t>
      </w:r>
      <w:r>
        <w:rPr>
          <w:sz w:val="22"/>
          <w:szCs w:val="22"/>
          <w:lang w:val="en-US"/>
        </w:rPr>
        <w:t>assets there are</w:t>
      </w:r>
      <w:r w:rsidRPr="00FD62DA">
        <w:rPr>
          <w:sz w:val="22"/>
          <w:szCs w:val="22"/>
          <w:lang w:val="en-US"/>
        </w:rPr>
        <w:t xml:space="preserve"> four subsidiaries and associates:</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 xml:space="preserve">• </w:t>
      </w:r>
      <w:r>
        <w:rPr>
          <w:sz w:val="22"/>
          <w:szCs w:val="22"/>
          <w:lang w:val="en-US"/>
        </w:rPr>
        <w:t>“JV</w:t>
      </w:r>
      <w:r w:rsidRPr="00FD62DA">
        <w:rPr>
          <w:sz w:val="22"/>
          <w:szCs w:val="22"/>
          <w:lang w:val="en-US"/>
        </w:rPr>
        <w:t xml:space="preserve"> </w:t>
      </w:r>
      <w:r>
        <w:rPr>
          <w:sz w:val="22"/>
          <w:szCs w:val="22"/>
          <w:lang w:val="en-US"/>
        </w:rPr>
        <w:t>sulfuric acid plant Kazatomprom” LLP</w:t>
      </w:r>
      <w:r w:rsidRPr="00FD62DA">
        <w:rPr>
          <w:sz w:val="22"/>
          <w:szCs w:val="22"/>
          <w:lang w:val="en-US"/>
        </w:rPr>
        <w:t xml:space="preserve"> </w:t>
      </w:r>
      <w:r>
        <w:rPr>
          <w:sz w:val="22"/>
          <w:szCs w:val="22"/>
          <w:lang w:val="en-US"/>
        </w:rPr>
        <w:t>s</w:t>
      </w:r>
      <w:r w:rsidRPr="00FD62DA">
        <w:rPr>
          <w:sz w:val="22"/>
          <w:szCs w:val="22"/>
          <w:lang w:val="en-US"/>
        </w:rPr>
        <w:t>ubsidiary - 56%;</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 xml:space="preserve">• Joint Venture </w:t>
      </w:r>
      <w:r>
        <w:rPr>
          <w:sz w:val="22"/>
          <w:szCs w:val="22"/>
          <w:lang w:val="en-US"/>
        </w:rPr>
        <w:t>“</w:t>
      </w:r>
      <w:r w:rsidRPr="00FD62DA">
        <w:rPr>
          <w:sz w:val="22"/>
          <w:szCs w:val="22"/>
          <w:lang w:val="en-US"/>
        </w:rPr>
        <w:t>Kazakhstan Petrochemical Industries Inc.</w:t>
      </w:r>
      <w:r>
        <w:rPr>
          <w:sz w:val="22"/>
          <w:szCs w:val="22"/>
          <w:lang w:val="en-US"/>
        </w:rPr>
        <w:t>”</w:t>
      </w:r>
      <w:r w:rsidRPr="00FD62DA">
        <w:rPr>
          <w:sz w:val="22"/>
          <w:szCs w:val="22"/>
          <w:lang w:val="en-US"/>
        </w:rPr>
        <w:t xml:space="preserve"> </w:t>
      </w:r>
      <w:proofErr w:type="gramStart"/>
      <w:r w:rsidRPr="00FD62DA">
        <w:rPr>
          <w:sz w:val="22"/>
          <w:szCs w:val="22"/>
          <w:lang w:val="en-US"/>
        </w:rPr>
        <w:t xml:space="preserve">LLP (Hereinafter </w:t>
      </w:r>
      <w:r>
        <w:rPr>
          <w:sz w:val="22"/>
          <w:szCs w:val="22"/>
          <w:lang w:val="en-US"/>
        </w:rPr>
        <w:t>–</w:t>
      </w:r>
      <w:r w:rsidRPr="00FD62DA">
        <w:rPr>
          <w:sz w:val="22"/>
          <w:szCs w:val="22"/>
          <w:lang w:val="en-US"/>
        </w:rPr>
        <w:t xml:space="preserve"> </w:t>
      </w:r>
      <w:r>
        <w:rPr>
          <w:sz w:val="22"/>
          <w:szCs w:val="22"/>
          <w:lang w:val="en-US"/>
        </w:rPr>
        <w:t>“</w:t>
      </w:r>
      <w:r w:rsidRPr="00FD62DA">
        <w:rPr>
          <w:sz w:val="22"/>
          <w:szCs w:val="22"/>
          <w:lang w:val="en-US"/>
        </w:rPr>
        <w:t>KPI Inc.</w:t>
      </w:r>
      <w:r>
        <w:rPr>
          <w:sz w:val="22"/>
          <w:szCs w:val="22"/>
          <w:lang w:val="en-US"/>
        </w:rPr>
        <w:t>”</w:t>
      </w:r>
      <w:proofErr w:type="gramEnd"/>
      <w:r w:rsidRPr="00FD62DA">
        <w:rPr>
          <w:sz w:val="22"/>
          <w:szCs w:val="22"/>
          <w:lang w:val="en-US"/>
        </w:rPr>
        <w:t xml:space="preserve"> LLP)</w:t>
      </w:r>
      <w:r>
        <w:rPr>
          <w:sz w:val="22"/>
          <w:szCs w:val="22"/>
          <w:lang w:val="en-US"/>
        </w:rPr>
        <w:t xml:space="preserve"> </w:t>
      </w:r>
      <w:r w:rsidRPr="00FD62DA">
        <w:rPr>
          <w:sz w:val="22"/>
          <w:szCs w:val="22"/>
          <w:lang w:val="en-US"/>
        </w:rPr>
        <w:t>- 51%;</w:t>
      </w:r>
    </w:p>
    <w:p w:rsidR="00FD62DA" w:rsidRPr="00FD62DA" w:rsidRDefault="00FD62DA" w:rsidP="00627857">
      <w:pPr>
        <w:tabs>
          <w:tab w:val="left" w:pos="284"/>
        </w:tabs>
        <w:ind w:left="-567" w:firstLine="709"/>
        <w:jc w:val="both"/>
        <w:rPr>
          <w:sz w:val="22"/>
          <w:szCs w:val="22"/>
          <w:lang w:val="en-US"/>
        </w:rPr>
      </w:pPr>
      <w:r w:rsidRPr="00FD62DA">
        <w:rPr>
          <w:sz w:val="22"/>
          <w:szCs w:val="22"/>
          <w:lang w:val="en-US"/>
        </w:rPr>
        <w:t xml:space="preserve">• </w:t>
      </w:r>
      <w:r>
        <w:rPr>
          <w:sz w:val="22"/>
          <w:szCs w:val="22"/>
          <w:lang w:val="en-US"/>
        </w:rPr>
        <w:t>related</w:t>
      </w:r>
      <w:r w:rsidRPr="00FD62DA">
        <w:rPr>
          <w:sz w:val="22"/>
          <w:szCs w:val="22"/>
          <w:lang w:val="en-US"/>
        </w:rPr>
        <w:t xml:space="preserve"> organization </w:t>
      </w:r>
      <w:r>
        <w:rPr>
          <w:sz w:val="22"/>
          <w:szCs w:val="22"/>
          <w:lang w:val="en-US"/>
        </w:rPr>
        <w:t>“</w:t>
      </w:r>
      <w:r w:rsidRPr="00FD62DA">
        <w:rPr>
          <w:sz w:val="22"/>
          <w:szCs w:val="22"/>
          <w:lang w:val="en-US"/>
        </w:rPr>
        <w:t>Ammonia production and distribution</w:t>
      </w:r>
      <w:r>
        <w:rPr>
          <w:sz w:val="22"/>
          <w:szCs w:val="22"/>
          <w:lang w:val="en-US"/>
        </w:rPr>
        <w:t>”</w:t>
      </w:r>
      <w:r w:rsidRPr="00FD62DA">
        <w:rPr>
          <w:sz w:val="22"/>
          <w:szCs w:val="22"/>
          <w:lang w:val="en-US"/>
        </w:rPr>
        <w:t xml:space="preserve"> LLP (hereinafter </w:t>
      </w:r>
      <w:r>
        <w:rPr>
          <w:sz w:val="22"/>
          <w:szCs w:val="22"/>
          <w:lang w:val="en-US"/>
        </w:rPr>
        <w:t>–</w:t>
      </w:r>
      <w:r w:rsidRPr="00FD62DA">
        <w:rPr>
          <w:sz w:val="22"/>
          <w:szCs w:val="22"/>
          <w:lang w:val="en-US"/>
        </w:rPr>
        <w:t xml:space="preserve"> </w:t>
      </w:r>
      <w:r>
        <w:rPr>
          <w:sz w:val="22"/>
          <w:szCs w:val="22"/>
          <w:lang w:val="en-US"/>
        </w:rPr>
        <w:t>“</w:t>
      </w:r>
      <w:r w:rsidRPr="00FD62DA">
        <w:rPr>
          <w:sz w:val="22"/>
          <w:szCs w:val="22"/>
          <w:lang w:val="en-US"/>
        </w:rPr>
        <w:t>APD</w:t>
      </w:r>
      <w:r>
        <w:rPr>
          <w:sz w:val="22"/>
          <w:szCs w:val="22"/>
          <w:lang w:val="en-US"/>
        </w:rPr>
        <w:t>”</w:t>
      </w:r>
      <w:r w:rsidRPr="00FD62DA">
        <w:rPr>
          <w:sz w:val="22"/>
          <w:szCs w:val="22"/>
          <w:lang w:val="en-US"/>
        </w:rPr>
        <w:t xml:space="preserve"> LLP) - 25%;</w:t>
      </w:r>
    </w:p>
    <w:p w:rsidR="00FD62DA" w:rsidRPr="007B37D3" w:rsidRDefault="00FD62DA" w:rsidP="00627857">
      <w:pPr>
        <w:tabs>
          <w:tab w:val="left" w:pos="284"/>
        </w:tabs>
        <w:ind w:left="-567" w:firstLine="709"/>
        <w:jc w:val="both"/>
        <w:rPr>
          <w:sz w:val="22"/>
          <w:szCs w:val="22"/>
          <w:lang w:val="en-US"/>
        </w:rPr>
      </w:pPr>
      <w:proofErr w:type="gramStart"/>
      <w:r w:rsidRPr="00FD62DA">
        <w:rPr>
          <w:sz w:val="22"/>
          <w:szCs w:val="22"/>
          <w:lang w:val="en-US"/>
        </w:rPr>
        <w:t xml:space="preserve">• </w:t>
      </w:r>
      <w:r>
        <w:rPr>
          <w:sz w:val="22"/>
          <w:szCs w:val="22"/>
          <w:lang w:val="en-US"/>
        </w:rPr>
        <w:t>related</w:t>
      </w:r>
      <w:r w:rsidRPr="00FD62DA">
        <w:rPr>
          <w:sz w:val="22"/>
          <w:szCs w:val="22"/>
          <w:lang w:val="en-US"/>
        </w:rPr>
        <w:t xml:space="preserve"> organization </w:t>
      </w:r>
      <w:r>
        <w:rPr>
          <w:sz w:val="22"/>
          <w:szCs w:val="22"/>
          <w:lang w:val="en-US"/>
        </w:rPr>
        <w:t>“</w:t>
      </w:r>
      <w:proofErr w:type="spellStart"/>
      <w:r>
        <w:rPr>
          <w:sz w:val="22"/>
          <w:szCs w:val="22"/>
          <w:lang w:val="en-US"/>
        </w:rPr>
        <w:t>HimFos</w:t>
      </w:r>
      <w:proofErr w:type="spellEnd"/>
      <w:r>
        <w:rPr>
          <w:sz w:val="22"/>
          <w:szCs w:val="22"/>
          <w:lang w:val="en-US"/>
        </w:rPr>
        <w:t>”</w:t>
      </w:r>
      <w:r w:rsidRPr="00FD62DA">
        <w:rPr>
          <w:sz w:val="22"/>
          <w:szCs w:val="22"/>
          <w:lang w:val="en-US"/>
        </w:rPr>
        <w:t xml:space="preserve"> LLP - 30%.</w:t>
      </w:r>
      <w:proofErr w:type="gramEnd"/>
    </w:p>
    <w:p w:rsidR="007B37D3" w:rsidRPr="007B37D3" w:rsidRDefault="007B37D3" w:rsidP="00627857">
      <w:pPr>
        <w:tabs>
          <w:tab w:val="left" w:pos="284"/>
        </w:tabs>
        <w:ind w:left="-567" w:firstLine="709"/>
        <w:jc w:val="both"/>
        <w:rPr>
          <w:sz w:val="22"/>
          <w:szCs w:val="22"/>
          <w:lang w:val="en-US"/>
        </w:rPr>
      </w:pPr>
      <w:r>
        <w:rPr>
          <w:sz w:val="22"/>
          <w:szCs w:val="22"/>
          <w:lang w:val="en-US"/>
        </w:rPr>
        <w:t xml:space="preserve"> Acquisition </w:t>
      </w:r>
      <w:r w:rsidRPr="007B37D3">
        <w:rPr>
          <w:sz w:val="22"/>
          <w:szCs w:val="22"/>
          <w:lang w:val="en-US"/>
        </w:rPr>
        <w:t xml:space="preserve">of income from operations is expected </w:t>
      </w:r>
      <w:r>
        <w:rPr>
          <w:sz w:val="22"/>
          <w:szCs w:val="22"/>
          <w:lang w:val="en-US"/>
        </w:rPr>
        <w:t>by the</w:t>
      </w:r>
      <w:r w:rsidRPr="007B37D3">
        <w:rPr>
          <w:sz w:val="22"/>
          <w:szCs w:val="22"/>
          <w:lang w:val="en-US"/>
        </w:rPr>
        <w:t xml:space="preserve"> UCC in 2013 after commissioning of the sulfuric acid plant in </w:t>
      </w:r>
      <w:proofErr w:type="spellStart"/>
      <w:r w:rsidRPr="007B37D3">
        <w:rPr>
          <w:sz w:val="22"/>
          <w:szCs w:val="22"/>
          <w:lang w:val="en-US"/>
        </w:rPr>
        <w:t>Stepnogorsk</w:t>
      </w:r>
      <w:proofErr w:type="spellEnd"/>
      <w:r>
        <w:rPr>
          <w:sz w:val="22"/>
          <w:szCs w:val="22"/>
          <w:lang w:val="en-US"/>
        </w:rPr>
        <w:t xml:space="preserve"> town</w:t>
      </w:r>
      <w:r w:rsidRPr="007B37D3">
        <w:rPr>
          <w:sz w:val="22"/>
          <w:szCs w:val="22"/>
          <w:lang w:val="en-US"/>
        </w:rPr>
        <w:t>.</w:t>
      </w:r>
    </w:p>
    <w:p w:rsidR="007B37D3" w:rsidRPr="007B37D3" w:rsidRDefault="007B37D3" w:rsidP="00627857">
      <w:pPr>
        <w:tabs>
          <w:tab w:val="left" w:pos="284"/>
        </w:tabs>
        <w:ind w:left="-567" w:firstLine="709"/>
        <w:jc w:val="both"/>
        <w:rPr>
          <w:sz w:val="22"/>
          <w:szCs w:val="22"/>
          <w:lang w:val="en-US"/>
        </w:rPr>
      </w:pPr>
      <w:r w:rsidRPr="007B37D3">
        <w:rPr>
          <w:sz w:val="22"/>
          <w:szCs w:val="22"/>
          <w:lang w:val="en-US"/>
        </w:rPr>
        <w:t xml:space="preserve">In </w:t>
      </w:r>
      <w:r w:rsidR="00FD62DA">
        <w:rPr>
          <w:sz w:val="22"/>
          <w:szCs w:val="22"/>
          <w:lang w:val="en-US"/>
        </w:rPr>
        <w:t>the reporting</w:t>
      </w:r>
      <w:r w:rsidRPr="007B37D3">
        <w:rPr>
          <w:sz w:val="22"/>
          <w:szCs w:val="22"/>
          <w:lang w:val="en-US"/>
        </w:rPr>
        <w:t xml:space="preserve">, following </w:t>
      </w:r>
      <w:r w:rsidRPr="00B64CB5">
        <w:rPr>
          <w:b/>
          <w:sz w:val="22"/>
          <w:szCs w:val="22"/>
          <w:lang w:val="en-US"/>
        </w:rPr>
        <w:t>significant events have occurred</w:t>
      </w:r>
      <w:r w:rsidRPr="007B37D3">
        <w:rPr>
          <w:sz w:val="22"/>
          <w:szCs w:val="22"/>
          <w:lang w:val="en-US"/>
        </w:rPr>
        <w:t>:</w:t>
      </w:r>
      <w:r w:rsidR="00B64CB5">
        <w:rPr>
          <w:sz w:val="22"/>
          <w:szCs w:val="22"/>
          <w:lang w:val="en-US"/>
        </w:rPr>
        <w:t xml:space="preserve"> </w:t>
      </w:r>
    </w:p>
    <w:p w:rsidR="007B37D3" w:rsidRPr="007B37D3" w:rsidRDefault="007B37D3" w:rsidP="00627857">
      <w:pPr>
        <w:tabs>
          <w:tab w:val="left" w:pos="284"/>
        </w:tabs>
        <w:ind w:left="-567" w:firstLine="709"/>
        <w:jc w:val="both"/>
        <w:rPr>
          <w:sz w:val="22"/>
          <w:szCs w:val="22"/>
          <w:lang w:val="en-US"/>
        </w:rPr>
      </w:pPr>
      <w:r w:rsidRPr="007B37D3">
        <w:rPr>
          <w:sz w:val="22"/>
          <w:szCs w:val="22"/>
          <w:lang w:val="en-US"/>
        </w:rPr>
        <w:t>1)</w:t>
      </w:r>
      <w:r w:rsidR="00FD62DA">
        <w:rPr>
          <w:sz w:val="22"/>
          <w:szCs w:val="22"/>
          <w:lang w:val="en-US"/>
        </w:rPr>
        <w:t xml:space="preserve"> 51% in “KPI Inc.” LLP was acquired from JSC “E&amp;P KMG” (under</w:t>
      </w:r>
      <w:r w:rsidRPr="007B37D3">
        <w:rPr>
          <w:sz w:val="22"/>
          <w:szCs w:val="22"/>
          <w:lang w:val="en-US"/>
        </w:rPr>
        <w:t xml:space="preserve"> the first phase of construction of </w:t>
      </w:r>
      <w:r w:rsidR="00B64CB5">
        <w:rPr>
          <w:sz w:val="22"/>
          <w:szCs w:val="22"/>
          <w:lang w:val="en-US"/>
        </w:rPr>
        <w:t>the</w:t>
      </w:r>
      <w:r w:rsidRPr="007B37D3">
        <w:rPr>
          <w:sz w:val="22"/>
          <w:szCs w:val="22"/>
          <w:lang w:val="en-US"/>
        </w:rPr>
        <w:t xml:space="preserve"> integrated chemical complex in Atyrau region</w:t>
      </w:r>
      <w:r w:rsidR="00AE738B">
        <w:rPr>
          <w:sz w:val="22"/>
          <w:szCs w:val="22"/>
          <w:lang w:val="en-US"/>
        </w:rPr>
        <w:t>)</w:t>
      </w:r>
      <w:r w:rsidRPr="007B37D3">
        <w:rPr>
          <w:sz w:val="22"/>
          <w:szCs w:val="22"/>
          <w:lang w:val="en-US"/>
        </w:rPr>
        <w:t>.</w:t>
      </w:r>
    </w:p>
    <w:p w:rsidR="007B37D3" w:rsidRPr="007B37D3" w:rsidRDefault="007B37D3" w:rsidP="00627857">
      <w:pPr>
        <w:tabs>
          <w:tab w:val="left" w:pos="284"/>
        </w:tabs>
        <w:ind w:left="-567" w:firstLine="709"/>
        <w:jc w:val="both"/>
        <w:rPr>
          <w:sz w:val="22"/>
          <w:szCs w:val="22"/>
          <w:lang w:val="en-US"/>
        </w:rPr>
      </w:pPr>
      <w:r w:rsidRPr="007B37D3">
        <w:rPr>
          <w:sz w:val="22"/>
          <w:szCs w:val="22"/>
          <w:lang w:val="en-US"/>
        </w:rPr>
        <w:t xml:space="preserve">2) </w:t>
      </w:r>
      <w:r w:rsidR="00AE738B">
        <w:rPr>
          <w:sz w:val="22"/>
          <w:szCs w:val="22"/>
          <w:lang w:val="en-US"/>
        </w:rPr>
        <w:t>“APD” LLP, a</w:t>
      </w:r>
      <w:r w:rsidRPr="007B37D3">
        <w:rPr>
          <w:sz w:val="22"/>
          <w:szCs w:val="22"/>
          <w:lang w:val="en-US"/>
        </w:rPr>
        <w:t xml:space="preserve"> </w:t>
      </w:r>
      <w:r w:rsidR="00B64CB5" w:rsidRPr="007B37D3">
        <w:rPr>
          <w:sz w:val="22"/>
          <w:szCs w:val="22"/>
          <w:lang w:val="en-US"/>
        </w:rPr>
        <w:t>joint venture</w:t>
      </w:r>
      <w:r w:rsidR="00AE738B">
        <w:rPr>
          <w:sz w:val="22"/>
          <w:szCs w:val="22"/>
          <w:lang w:val="en-US"/>
        </w:rPr>
        <w:t>,</w:t>
      </w:r>
      <w:r w:rsidR="00B64CB5" w:rsidRPr="007B37D3">
        <w:rPr>
          <w:sz w:val="22"/>
          <w:szCs w:val="22"/>
          <w:lang w:val="en-US"/>
        </w:rPr>
        <w:t xml:space="preserve"> </w:t>
      </w:r>
      <w:r w:rsidR="00AE738B">
        <w:rPr>
          <w:sz w:val="22"/>
          <w:szCs w:val="22"/>
          <w:lang w:val="en-US"/>
        </w:rPr>
        <w:t>was created</w:t>
      </w:r>
      <w:r w:rsidRPr="007B37D3">
        <w:rPr>
          <w:sz w:val="22"/>
          <w:szCs w:val="22"/>
          <w:lang w:val="en-US"/>
        </w:rPr>
        <w:t xml:space="preserve"> </w:t>
      </w:r>
      <w:r w:rsidR="00AE738B">
        <w:rPr>
          <w:sz w:val="22"/>
          <w:szCs w:val="22"/>
          <w:lang w:val="en-US"/>
        </w:rPr>
        <w:t>together with “</w:t>
      </w:r>
      <w:proofErr w:type="spellStart"/>
      <w:r w:rsidR="00AE738B">
        <w:rPr>
          <w:sz w:val="22"/>
          <w:szCs w:val="22"/>
          <w:lang w:val="en-US"/>
        </w:rPr>
        <w:t>SAT&amp;Co</w:t>
      </w:r>
      <w:proofErr w:type="spellEnd"/>
      <w:r w:rsidR="00AE738B">
        <w:rPr>
          <w:sz w:val="22"/>
          <w:szCs w:val="22"/>
          <w:lang w:val="en-US"/>
        </w:rPr>
        <w:t xml:space="preserve">” JSC and </w:t>
      </w:r>
      <w:r w:rsidRPr="007B37D3">
        <w:rPr>
          <w:sz w:val="22"/>
          <w:szCs w:val="22"/>
          <w:lang w:val="en-US"/>
        </w:rPr>
        <w:t xml:space="preserve">LG </w:t>
      </w:r>
      <w:proofErr w:type="spellStart"/>
      <w:r w:rsidRPr="007B37D3">
        <w:rPr>
          <w:sz w:val="22"/>
          <w:szCs w:val="22"/>
          <w:lang w:val="en-US"/>
        </w:rPr>
        <w:t>Chem</w:t>
      </w:r>
      <w:proofErr w:type="spellEnd"/>
      <w:r w:rsidRPr="007B37D3">
        <w:rPr>
          <w:sz w:val="22"/>
          <w:szCs w:val="22"/>
          <w:lang w:val="en-US"/>
        </w:rPr>
        <w:t xml:space="preserve"> Ltd </w:t>
      </w:r>
      <w:r w:rsidR="00AE738B">
        <w:rPr>
          <w:sz w:val="22"/>
          <w:szCs w:val="22"/>
          <w:lang w:val="en-US"/>
        </w:rPr>
        <w:t>(under</w:t>
      </w:r>
      <w:r w:rsidRPr="007B37D3">
        <w:rPr>
          <w:sz w:val="22"/>
          <w:szCs w:val="22"/>
          <w:lang w:val="en-US"/>
        </w:rPr>
        <w:t xml:space="preserve"> the second phase </w:t>
      </w:r>
      <w:r w:rsidR="00AE738B" w:rsidRPr="007B37D3">
        <w:rPr>
          <w:sz w:val="22"/>
          <w:szCs w:val="22"/>
          <w:lang w:val="en-US"/>
        </w:rPr>
        <w:t xml:space="preserve">of construction of </w:t>
      </w:r>
      <w:r w:rsidR="00AE738B">
        <w:rPr>
          <w:sz w:val="22"/>
          <w:szCs w:val="22"/>
          <w:lang w:val="en-US"/>
        </w:rPr>
        <w:t>the</w:t>
      </w:r>
      <w:r w:rsidR="00AE738B" w:rsidRPr="007B37D3">
        <w:rPr>
          <w:sz w:val="22"/>
          <w:szCs w:val="22"/>
          <w:lang w:val="en-US"/>
        </w:rPr>
        <w:t xml:space="preserve"> integrated chemical complex in Atyrau region</w:t>
      </w:r>
      <w:r w:rsidR="00AE738B">
        <w:rPr>
          <w:sz w:val="22"/>
          <w:szCs w:val="22"/>
          <w:lang w:val="en-US"/>
        </w:rPr>
        <w:t>)</w:t>
      </w:r>
      <w:r w:rsidRPr="007B37D3">
        <w:rPr>
          <w:sz w:val="22"/>
          <w:szCs w:val="22"/>
          <w:lang w:val="en-US"/>
        </w:rPr>
        <w:t>.</w:t>
      </w:r>
    </w:p>
    <w:p w:rsidR="00AE738B" w:rsidRPr="00AE738B" w:rsidRDefault="00AE738B" w:rsidP="00627857">
      <w:pPr>
        <w:tabs>
          <w:tab w:val="left" w:pos="284"/>
        </w:tabs>
        <w:ind w:left="-567" w:firstLine="709"/>
        <w:jc w:val="both"/>
        <w:rPr>
          <w:sz w:val="22"/>
          <w:szCs w:val="22"/>
          <w:lang w:val="en-US"/>
        </w:rPr>
      </w:pPr>
      <w:r w:rsidRPr="00AE738B">
        <w:rPr>
          <w:sz w:val="22"/>
          <w:szCs w:val="22"/>
          <w:lang w:val="en-US"/>
        </w:rPr>
        <w:t xml:space="preserve">At the end of the reporting period, the average </w:t>
      </w:r>
      <w:r>
        <w:rPr>
          <w:sz w:val="22"/>
          <w:szCs w:val="22"/>
          <w:lang w:val="en-US"/>
        </w:rPr>
        <w:t>headcount of staff</w:t>
      </w:r>
      <w:r w:rsidRPr="00AE738B">
        <w:rPr>
          <w:sz w:val="22"/>
          <w:szCs w:val="22"/>
          <w:lang w:val="en-US"/>
        </w:rPr>
        <w:t xml:space="preserve"> was 140.</w:t>
      </w:r>
    </w:p>
    <w:p w:rsidR="002664E4" w:rsidRDefault="00A01C4C" w:rsidP="00627857">
      <w:pPr>
        <w:tabs>
          <w:tab w:val="left" w:pos="284"/>
        </w:tabs>
        <w:ind w:left="-567" w:firstLine="709"/>
        <w:jc w:val="both"/>
        <w:rPr>
          <w:sz w:val="22"/>
          <w:szCs w:val="22"/>
          <w:lang w:val="en-US"/>
        </w:rPr>
      </w:pPr>
      <w:r w:rsidRPr="00A01C4C">
        <w:rPr>
          <w:b/>
          <w:color w:val="000000"/>
          <w:sz w:val="22"/>
          <w:szCs w:val="22"/>
          <w:lang w:val="en-US"/>
        </w:rPr>
        <w:t>JSC NGC “</w:t>
      </w:r>
      <w:proofErr w:type="spellStart"/>
      <w:r w:rsidRPr="00A01C4C">
        <w:rPr>
          <w:b/>
          <w:color w:val="000000"/>
          <w:sz w:val="22"/>
          <w:szCs w:val="22"/>
          <w:lang w:val="en-US"/>
        </w:rPr>
        <w:t>Kazgeologiya</w:t>
      </w:r>
      <w:proofErr w:type="spellEnd"/>
      <w:r w:rsidRPr="00A01C4C">
        <w:rPr>
          <w:b/>
          <w:color w:val="000000"/>
          <w:sz w:val="22"/>
          <w:szCs w:val="22"/>
          <w:lang w:val="en-US"/>
        </w:rPr>
        <w:t>”</w:t>
      </w:r>
      <w:r>
        <w:rPr>
          <w:color w:val="000000"/>
          <w:sz w:val="22"/>
          <w:szCs w:val="22"/>
          <w:lang w:val="en-US"/>
        </w:rPr>
        <w:t xml:space="preserve"> (hereinafter – </w:t>
      </w:r>
      <w:proofErr w:type="spellStart"/>
      <w:r w:rsidR="002664E4" w:rsidRPr="00A01C4C">
        <w:rPr>
          <w:sz w:val="22"/>
          <w:szCs w:val="22"/>
          <w:lang w:val="en-US"/>
        </w:rPr>
        <w:t>Kazgeologiya</w:t>
      </w:r>
      <w:proofErr w:type="spellEnd"/>
      <w:r w:rsidRPr="00A01C4C">
        <w:rPr>
          <w:sz w:val="22"/>
          <w:szCs w:val="22"/>
          <w:lang w:val="en-US"/>
        </w:rPr>
        <w:t>)</w:t>
      </w:r>
      <w:r w:rsidR="002664E4" w:rsidRPr="002356D5">
        <w:rPr>
          <w:b/>
          <w:sz w:val="22"/>
          <w:szCs w:val="22"/>
          <w:lang w:val="en-US"/>
        </w:rPr>
        <w:t xml:space="preserve"> </w:t>
      </w:r>
      <w:r w:rsidR="00637B87">
        <w:rPr>
          <w:sz w:val="22"/>
          <w:szCs w:val="22"/>
          <w:lang w:val="en-US"/>
        </w:rPr>
        <w:t xml:space="preserve">is operating </w:t>
      </w:r>
      <w:r w:rsidR="002664E4" w:rsidRPr="002356D5">
        <w:rPr>
          <w:sz w:val="22"/>
          <w:szCs w:val="22"/>
          <w:lang w:val="en-US"/>
        </w:rPr>
        <w:t xml:space="preserve"> to ensure optimal development of the territory of the </w:t>
      </w:r>
      <w:r w:rsidR="002664E4">
        <w:rPr>
          <w:sz w:val="22"/>
          <w:szCs w:val="22"/>
          <w:lang w:val="en-US"/>
        </w:rPr>
        <w:t>R</w:t>
      </w:r>
      <w:r w:rsidR="002664E4" w:rsidRPr="002356D5">
        <w:rPr>
          <w:sz w:val="22"/>
          <w:szCs w:val="22"/>
          <w:lang w:val="en-US"/>
        </w:rPr>
        <w:t xml:space="preserve">epublic, creating favorable conditions for living and new mineral bases </w:t>
      </w:r>
      <w:r w:rsidR="002664E4">
        <w:rPr>
          <w:sz w:val="22"/>
          <w:szCs w:val="22"/>
          <w:lang w:val="en-US"/>
        </w:rPr>
        <w:t>for the</w:t>
      </w:r>
      <w:r w:rsidR="002664E4" w:rsidRPr="002356D5">
        <w:rPr>
          <w:sz w:val="22"/>
          <w:szCs w:val="22"/>
          <w:lang w:val="en-US"/>
        </w:rPr>
        <w:t xml:space="preserve"> fund </w:t>
      </w:r>
      <w:r w:rsidR="002664E4">
        <w:rPr>
          <w:sz w:val="22"/>
          <w:szCs w:val="22"/>
          <w:lang w:val="en-US"/>
        </w:rPr>
        <w:t>of</w:t>
      </w:r>
      <w:r w:rsidR="002664E4" w:rsidRPr="002356D5">
        <w:rPr>
          <w:sz w:val="22"/>
          <w:szCs w:val="22"/>
          <w:lang w:val="en-US"/>
        </w:rPr>
        <w:t xml:space="preserve"> future generations and to ensure the realization of economic and geopolitical interests </w:t>
      </w:r>
      <w:r w:rsidR="002664E4">
        <w:rPr>
          <w:sz w:val="22"/>
          <w:szCs w:val="22"/>
          <w:lang w:val="en-US"/>
        </w:rPr>
        <w:t>of</w:t>
      </w:r>
      <w:r w:rsidR="002664E4" w:rsidRPr="002356D5">
        <w:rPr>
          <w:sz w:val="22"/>
          <w:szCs w:val="22"/>
          <w:lang w:val="en-US"/>
        </w:rPr>
        <w:t xml:space="preserve"> Kazakh</w:t>
      </w:r>
      <w:r w:rsidR="002664E4">
        <w:rPr>
          <w:sz w:val="22"/>
          <w:szCs w:val="22"/>
          <w:lang w:val="en-US"/>
        </w:rPr>
        <w:t>stan</w:t>
      </w:r>
      <w:r w:rsidR="002664E4" w:rsidRPr="002356D5">
        <w:rPr>
          <w:sz w:val="22"/>
          <w:szCs w:val="22"/>
          <w:lang w:val="en-US"/>
        </w:rPr>
        <w:t xml:space="preserve"> </w:t>
      </w:r>
      <w:r w:rsidR="002664E4">
        <w:rPr>
          <w:sz w:val="22"/>
          <w:szCs w:val="22"/>
          <w:lang w:val="en-US"/>
        </w:rPr>
        <w:t xml:space="preserve">in its </w:t>
      </w:r>
      <w:r w:rsidR="002664E4" w:rsidRPr="002356D5">
        <w:rPr>
          <w:sz w:val="22"/>
          <w:szCs w:val="22"/>
          <w:lang w:val="en-US"/>
        </w:rPr>
        <w:t xml:space="preserve">sector </w:t>
      </w:r>
      <w:r w:rsidR="0077204C" w:rsidRPr="002356D5">
        <w:rPr>
          <w:sz w:val="22"/>
          <w:szCs w:val="22"/>
          <w:lang w:val="en-US"/>
        </w:rPr>
        <w:t xml:space="preserve">of </w:t>
      </w:r>
      <w:r w:rsidR="0077204C">
        <w:rPr>
          <w:sz w:val="22"/>
          <w:szCs w:val="22"/>
          <w:lang w:val="en-US"/>
        </w:rPr>
        <w:t>the</w:t>
      </w:r>
      <w:r w:rsidR="002664E4" w:rsidRPr="002356D5">
        <w:rPr>
          <w:sz w:val="22"/>
          <w:szCs w:val="22"/>
          <w:lang w:val="en-US"/>
        </w:rPr>
        <w:t xml:space="preserve"> Caspian shelf.</w:t>
      </w:r>
    </w:p>
    <w:p w:rsidR="002664E4" w:rsidRPr="002356D5" w:rsidRDefault="002664E4" w:rsidP="00627857">
      <w:pPr>
        <w:tabs>
          <w:tab w:val="left" w:pos="284"/>
        </w:tabs>
        <w:ind w:left="-567" w:firstLine="709"/>
        <w:jc w:val="both"/>
        <w:rPr>
          <w:sz w:val="22"/>
          <w:szCs w:val="22"/>
          <w:lang w:val="en-US"/>
        </w:rPr>
      </w:pPr>
      <w:r w:rsidRPr="002356D5">
        <w:rPr>
          <w:sz w:val="22"/>
          <w:szCs w:val="22"/>
          <w:lang w:val="en-US"/>
        </w:rPr>
        <w:t xml:space="preserve">The main activities </w:t>
      </w:r>
      <w:r>
        <w:rPr>
          <w:sz w:val="22"/>
          <w:szCs w:val="22"/>
          <w:lang w:val="en-US"/>
        </w:rPr>
        <w:t xml:space="preserve">of </w:t>
      </w:r>
      <w:proofErr w:type="spellStart"/>
      <w:r w:rsidRPr="002356D5">
        <w:rPr>
          <w:sz w:val="22"/>
          <w:szCs w:val="22"/>
          <w:lang w:val="en-US"/>
        </w:rPr>
        <w:t>Kazgeologi</w:t>
      </w:r>
      <w:r>
        <w:rPr>
          <w:sz w:val="22"/>
          <w:szCs w:val="22"/>
          <w:lang w:val="en-US"/>
        </w:rPr>
        <w:t>ya</w:t>
      </w:r>
      <w:proofErr w:type="spellEnd"/>
      <w:r>
        <w:rPr>
          <w:sz w:val="22"/>
          <w:szCs w:val="22"/>
          <w:lang w:val="en-US"/>
        </w:rPr>
        <w:t xml:space="preserve"> are as follows</w:t>
      </w:r>
      <w:r w:rsidRPr="002356D5">
        <w:rPr>
          <w:sz w:val="22"/>
          <w:szCs w:val="22"/>
          <w:lang w:val="en-US"/>
        </w:rPr>
        <w:t xml:space="preserve">: </w:t>
      </w:r>
    </w:p>
    <w:p w:rsidR="002664E4" w:rsidRPr="002356D5" w:rsidRDefault="002664E4" w:rsidP="00627857">
      <w:pPr>
        <w:tabs>
          <w:tab w:val="left" w:pos="284"/>
          <w:tab w:val="left" w:pos="993"/>
        </w:tabs>
        <w:autoSpaceDE w:val="0"/>
        <w:autoSpaceDN w:val="0"/>
        <w:adjustRightInd w:val="0"/>
        <w:ind w:left="-567" w:firstLine="709"/>
        <w:jc w:val="both"/>
        <w:rPr>
          <w:sz w:val="22"/>
          <w:szCs w:val="22"/>
          <w:lang w:val="en-US"/>
        </w:rPr>
      </w:pPr>
      <w:r w:rsidRPr="002356D5">
        <w:rPr>
          <w:sz w:val="22"/>
          <w:szCs w:val="22"/>
          <w:lang w:val="en-US"/>
        </w:rPr>
        <w:t xml:space="preserve">• </w:t>
      </w:r>
      <w:proofErr w:type="gramStart"/>
      <w:r w:rsidRPr="002356D5">
        <w:rPr>
          <w:sz w:val="22"/>
          <w:szCs w:val="22"/>
          <w:lang w:val="en-US"/>
        </w:rPr>
        <w:t>reproduction</w:t>
      </w:r>
      <w:proofErr w:type="gramEnd"/>
      <w:r w:rsidRPr="002356D5">
        <w:rPr>
          <w:sz w:val="22"/>
          <w:szCs w:val="22"/>
          <w:lang w:val="en-US"/>
        </w:rPr>
        <w:t xml:space="preserve"> o</w:t>
      </w:r>
      <w:r>
        <w:rPr>
          <w:sz w:val="22"/>
          <w:szCs w:val="22"/>
          <w:lang w:val="en-US"/>
        </w:rPr>
        <w:t>f the mineral resources of the R</w:t>
      </w:r>
      <w:r w:rsidRPr="002356D5">
        <w:rPr>
          <w:sz w:val="22"/>
          <w:szCs w:val="22"/>
          <w:lang w:val="en-US"/>
        </w:rPr>
        <w:t>epublic;</w:t>
      </w:r>
    </w:p>
    <w:p w:rsidR="002664E4" w:rsidRPr="002356D5" w:rsidRDefault="002664E4" w:rsidP="00627857">
      <w:pPr>
        <w:tabs>
          <w:tab w:val="left" w:pos="284"/>
          <w:tab w:val="left" w:pos="993"/>
        </w:tabs>
        <w:autoSpaceDE w:val="0"/>
        <w:autoSpaceDN w:val="0"/>
        <w:adjustRightInd w:val="0"/>
        <w:ind w:left="-567" w:firstLine="709"/>
        <w:jc w:val="both"/>
        <w:rPr>
          <w:sz w:val="22"/>
          <w:szCs w:val="22"/>
          <w:lang w:val="en-US"/>
        </w:rPr>
      </w:pPr>
      <w:r>
        <w:rPr>
          <w:sz w:val="22"/>
          <w:szCs w:val="22"/>
          <w:lang w:val="en-US"/>
        </w:rPr>
        <w:t xml:space="preserve">• </w:t>
      </w:r>
      <w:proofErr w:type="gramStart"/>
      <w:r>
        <w:rPr>
          <w:sz w:val="22"/>
          <w:szCs w:val="22"/>
          <w:lang w:val="en-US"/>
        </w:rPr>
        <w:t>p</w:t>
      </w:r>
      <w:r w:rsidRPr="002356D5">
        <w:rPr>
          <w:sz w:val="22"/>
          <w:szCs w:val="22"/>
          <w:lang w:val="en-US"/>
        </w:rPr>
        <w:t>articipat</w:t>
      </w:r>
      <w:r>
        <w:rPr>
          <w:sz w:val="22"/>
          <w:szCs w:val="22"/>
          <w:lang w:val="en-US"/>
        </w:rPr>
        <w:t>ion</w:t>
      </w:r>
      <w:proofErr w:type="gramEnd"/>
      <w:r w:rsidRPr="002356D5">
        <w:rPr>
          <w:sz w:val="22"/>
          <w:szCs w:val="22"/>
          <w:lang w:val="en-US"/>
        </w:rPr>
        <w:t xml:space="preserve"> in the implementation of a unified state policy in the sphere of exploration;</w:t>
      </w:r>
    </w:p>
    <w:p w:rsidR="002664E4" w:rsidRPr="002356D5" w:rsidRDefault="002664E4" w:rsidP="00627857">
      <w:pPr>
        <w:tabs>
          <w:tab w:val="left" w:pos="284"/>
          <w:tab w:val="left" w:pos="993"/>
        </w:tabs>
        <w:autoSpaceDE w:val="0"/>
        <w:autoSpaceDN w:val="0"/>
        <w:adjustRightInd w:val="0"/>
        <w:ind w:left="-567" w:firstLine="709"/>
        <w:jc w:val="both"/>
        <w:rPr>
          <w:sz w:val="22"/>
          <w:szCs w:val="22"/>
          <w:lang w:val="en-US"/>
        </w:rPr>
      </w:pPr>
      <w:r w:rsidRPr="002356D5">
        <w:rPr>
          <w:sz w:val="22"/>
          <w:szCs w:val="22"/>
          <w:lang w:val="en-US"/>
        </w:rPr>
        <w:lastRenderedPageBreak/>
        <w:t xml:space="preserve">• </w:t>
      </w:r>
      <w:r>
        <w:rPr>
          <w:sz w:val="22"/>
          <w:szCs w:val="22"/>
          <w:lang w:val="en-US"/>
        </w:rPr>
        <w:t>c</w:t>
      </w:r>
      <w:r w:rsidRPr="002356D5">
        <w:rPr>
          <w:sz w:val="22"/>
          <w:szCs w:val="22"/>
          <w:lang w:val="en-US"/>
        </w:rPr>
        <w:t xml:space="preserve">onduct </w:t>
      </w:r>
      <w:r>
        <w:rPr>
          <w:sz w:val="22"/>
          <w:szCs w:val="22"/>
          <w:lang w:val="en-US"/>
        </w:rPr>
        <w:t xml:space="preserve">of </w:t>
      </w:r>
      <w:r w:rsidRPr="002356D5">
        <w:rPr>
          <w:sz w:val="22"/>
          <w:szCs w:val="22"/>
          <w:lang w:val="en-US"/>
        </w:rPr>
        <w:t>geological study, including the search and evaluation of mineral deposits;</w:t>
      </w:r>
    </w:p>
    <w:p w:rsidR="002664E4" w:rsidRPr="002356D5" w:rsidRDefault="002664E4" w:rsidP="00627857">
      <w:pPr>
        <w:tabs>
          <w:tab w:val="left" w:pos="284"/>
          <w:tab w:val="left" w:pos="993"/>
        </w:tabs>
        <w:autoSpaceDE w:val="0"/>
        <w:autoSpaceDN w:val="0"/>
        <w:adjustRightInd w:val="0"/>
        <w:ind w:left="-567" w:firstLine="709"/>
        <w:jc w:val="both"/>
        <w:rPr>
          <w:sz w:val="22"/>
          <w:szCs w:val="22"/>
          <w:lang w:val="en-US"/>
        </w:rPr>
      </w:pPr>
      <w:r>
        <w:rPr>
          <w:sz w:val="22"/>
          <w:szCs w:val="22"/>
          <w:lang w:val="en-US"/>
        </w:rPr>
        <w:t xml:space="preserve">• </w:t>
      </w:r>
      <w:proofErr w:type="gramStart"/>
      <w:r w:rsidRPr="002356D5">
        <w:rPr>
          <w:sz w:val="22"/>
          <w:szCs w:val="22"/>
          <w:lang w:val="en-US"/>
        </w:rPr>
        <w:t>development</w:t>
      </w:r>
      <w:proofErr w:type="gramEnd"/>
      <w:r w:rsidRPr="002356D5">
        <w:rPr>
          <w:sz w:val="22"/>
          <w:szCs w:val="22"/>
          <w:lang w:val="en-US"/>
        </w:rPr>
        <w:t xml:space="preserve"> and introduction of new high-tech and efficient technologies in geology;</w:t>
      </w:r>
    </w:p>
    <w:p w:rsidR="002664E4" w:rsidRPr="002356D5" w:rsidRDefault="002664E4" w:rsidP="00627857">
      <w:pPr>
        <w:tabs>
          <w:tab w:val="left" w:pos="284"/>
          <w:tab w:val="left" w:pos="993"/>
        </w:tabs>
        <w:autoSpaceDE w:val="0"/>
        <w:autoSpaceDN w:val="0"/>
        <w:adjustRightInd w:val="0"/>
        <w:ind w:left="-567" w:firstLine="709"/>
        <w:jc w:val="both"/>
        <w:rPr>
          <w:sz w:val="22"/>
          <w:szCs w:val="22"/>
          <w:lang w:val="en-US"/>
        </w:rPr>
      </w:pPr>
      <w:r w:rsidRPr="002356D5">
        <w:rPr>
          <w:sz w:val="22"/>
          <w:szCs w:val="22"/>
          <w:lang w:val="en-US"/>
        </w:rPr>
        <w:t xml:space="preserve">• </w:t>
      </w:r>
      <w:proofErr w:type="gramStart"/>
      <w:r w:rsidRPr="002356D5">
        <w:rPr>
          <w:sz w:val="22"/>
          <w:szCs w:val="22"/>
          <w:lang w:val="en-US"/>
        </w:rPr>
        <w:t>storage</w:t>
      </w:r>
      <w:proofErr w:type="gramEnd"/>
      <w:r w:rsidRPr="002356D5">
        <w:rPr>
          <w:sz w:val="22"/>
          <w:szCs w:val="22"/>
          <w:lang w:val="en-US"/>
        </w:rPr>
        <w:t>, handling, ordering data bank</w:t>
      </w:r>
      <w:r>
        <w:rPr>
          <w:sz w:val="22"/>
          <w:szCs w:val="22"/>
          <w:lang w:val="en-US"/>
        </w:rPr>
        <w:t xml:space="preserve"> of</w:t>
      </w:r>
      <w:r w:rsidRPr="002356D5">
        <w:rPr>
          <w:sz w:val="22"/>
          <w:szCs w:val="22"/>
          <w:lang w:val="en-US"/>
        </w:rPr>
        <w:t xml:space="preserve"> obtained geological information;</w:t>
      </w:r>
    </w:p>
    <w:p w:rsidR="002664E4" w:rsidRDefault="002664E4" w:rsidP="00627857">
      <w:pPr>
        <w:tabs>
          <w:tab w:val="left" w:pos="284"/>
          <w:tab w:val="left" w:pos="993"/>
        </w:tabs>
        <w:autoSpaceDE w:val="0"/>
        <w:autoSpaceDN w:val="0"/>
        <w:adjustRightInd w:val="0"/>
        <w:ind w:left="-567" w:firstLine="709"/>
        <w:jc w:val="both"/>
        <w:rPr>
          <w:sz w:val="22"/>
          <w:szCs w:val="22"/>
          <w:lang w:val="en-US"/>
        </w:rPr>
      </w:pPr>
      <w:r w:rsidRPr="002356D5">
        <w:rPr>
          <w:sz w:val="22"/>
          <w:szCs w:val="22"/>
          <w:lang w:val="en-US"/>
        </w:rPr>
        <w:t xml:space="preserve">• </w:t>
      </w:r>
      <w:proofErr w:type="gramStart"/>
      <w:r>
        <w:rPr>
          <w:sz w:val="22"/>
          <w:szCs w:val="22"/>
          <w:lang w:val="en-US"/>
        </w:rPr>
        <w:t>e</w:t>
      </w:r>
      <w:r w:rsidRPr="002356D5">
        <w:rPr>
          <w:sz w:val="22"/>
          <w:szCs w:val="22"/>
          <w:lang w:val="en-US"/>
        </w:rPr>
        <w:t>ffective</w:t>
      </w:r>
      <w:proofErr w:type="gramEnd"/>
      <w:r w:rsidRPr="002356D5">
        <w:rPr>
          <w:sz w:val="22"/>
          <w:szCs w:val="22"/>
          <w:lang w:val="en-US"/>
        </w:rPr>
        <w:t xml:space="preserve"> management of the </w:t>
      </w:r>
      <w:r>
        <w:rPr>
          <w:sz w:val="22"/>
          <w:szCs w:val="22"/>
          <w:lang w:val="en-US"/>
        </w:rPr>
        <w:t>transferred to the Company of shares (interest</w:t>
      </w:r>
      <w:r w:rsidRPr="002356D5">
        <w:rPr>
          <w:sz w:val="22"/>
          <w:szCs w:val="22"/>
          <w:lang w:val="en-US"/>
        </w:rPr>
        <w:t xml:space="preserve">) of the organizations </w:t>
      </w:r>
      <w:r>
        <w:rPr>
          <w:sz w:val="22"/>
          <w:szCs w:val="22"/>
          <w:lang w:val="en-US"/>
        </w:rPr>
        <w:t xml:space="preserve">of </w:t>
      </w:r>
      <w:r w:rsidRPr="002356D5">
        <w:rPr>
          <w:sz w:val="22"/>
          <w:szCs w:val="22"/>
          <w:lang w:val="en-US"/>
        </w:rPr>
        <w:t xml:space="preserve">geological </w:t>
      </w:r>
      <w:r>
        <w:rPr>
          <w:sz w:val="22"/>
          <w:szCs w:val="22"/>
          <w:lang w:val="en-US"/>
        </w:rPr>
        <w:t>sector</w:t>
      </w:r>
      <w:r w:rsidRPr="002356D5">
        <w:rPr>
          <w:sz w:val="22"/>
          <w:szCs w:val="22"/>
          <w:lang w:val="en-US"/>
        </w:rPr>
        <w:t>.</w:t>
      </w:r>
    </w:p>
    <w:p w:rsidR="00637B87" w:rsidRPr="00637B87" w:rsidRDefault="00637B87" w:rsidP="00627857">
      <w:pPr>
        <w:tabs>
          <w:tab w:val="left" w:pos="284"/>
          <w:tab w:val="left" w:pos="993"/>
        </w:tabs>
        <w:autoSpaceDE w:val="0"/>
        <w:autoSpaceDN w:val="0"/>
        <w:adjustRightInd w:val="0"/>
        <w:ind w:left="-567" w:firstLine="709"/>
        <w:jc w:val="both"/>
        <w:rPr>
          <w:sz w:val="22"/>
          <w:szCs w:val="22"/>
          <w:lang w:val="en-US"/>
        </w:rPr>
      </w:pPr>
      <w:r>
        <w:rPr>
          <w:sz w:val="22"/>
          <w:szCs w:val="22"/>
          <w:lang w:val="en-US"/>
        </w:rPr>
        <w:t>In the reporting</w:t>
      </w:r>
      <w:r w:rsidRPr="00637B87">
        <w:rPr>
          <w:sz w:val="22"/>
          <w:szCs w:val="22"/>
          <w:lang w:val="en-US"/>
        </w:rPr>
        <w:t xml:space="preserve"> period the </w:t>
      </w:r>
      <w:r w:rsidRPr="00637B87">
        <w:rPr>
          <w:b/>
          <w:sz w:val="22"/>
          <w:szCs w:val="22"/>
          <w:lang w:val="en-US"/>
        </w:rPr>
        <w:t>following significant events</w:t>
      </w:r>
      <w:r>
        <w:rPr>
          <w:sz w:val="22"/>
          <w:szCs w:val="22"/>
          <w:lang w:val="en-US"/>
        </w:rPr>
        <w:t xml:space="preserve"> </w:t>
      </w:r>
      <w:r w:rsidRPr="00B64CB5">
        <w:rPr>
          <w:b/>
          <w:sz w:val="22"/>
          <w:szCs w:val="22"/>
          <w:lang w:val="en-US"/>
        </w:rPr>
        <w:t>have occurred</w:t>
      </w:r>
      <w:r w:rsidRPr="00637B87">
        <w:rPr>
          <w:sz w:val="22"/>
          <w:szCs w:val="22"/>
          <w:lang w:val="en-US"/>
        </w:rPr>
        <w:t>:</w:t>
      </w:r>
    </w:p>
    <w:p w:rsidR="00637B87" w:rsidRPr="00637B87" w:rsidRDefault="00637B87" w:rsidP="00627857">
      <w:pPr>
        <w:tabs>
          <w:tab w:val="left" w:pos="284"/>
          <w:tab w:val="left" w:pos="993"/>
        </w:tabs>
        <w:autoSpaceDE w:val="0"/>
        <w:autoSpaceDN w:val="0"/>
        <w:adjustRightInd w:val="0"/>
        <w:ind w:left="-567" w:firstLine="709"/>
        <w:jc w:val="both"/>
        <w:rPr>
          <w:sz w:val="22"/>
          <w:szCs w:val="22"/>
          <w:lang w:val="en-US"/>
        </w:rPr>
      </w:pPr>
      <w:r w:rsidRPr="00637B87">
        <w:rPr>
          <w:sz w:val="22"/>
          <w:szCs w:val="22"/>
          <w:lang w:val="en-US"/>
        </w:rPr>
        <w:t xml:space="preserve">1) </w:t>
      </w:r>
      <w:proofErr w:type="gramStart"/>
      <w:r w:rsidRPr="00637B87">
        <w:rPr>
          <w:sz w:val="22"/>
          <w:szCs w:val="22"/>
          <w:lang w:val="en-US"/>
        </w:rPr>
        <w:t>agreed</w:t>
      </w:r>
      <w:proofErr w:type="gramEnd"/>
      <w:r w:rsidRPr="00637B87">
        <w:rPr>
          <w:sz w:val="22"/>
          <w:szCs w:val="22"/>
          <w:lang w:val="en-US"/>
        </w:rPr>
        <w:t xml:space="preserve"> to participate </w:t>
      </w:r>
      <w:proofErr w:type="spellStart"/>
      <w:r w:rsidRPr="00637B87">
        <w:rPr>
          <w:sz w:val="22"/>
          <w:szCs w:val="22"/>
          <w:lang w:val="en-US"/>
        </w:rPr>
        <w:t>Kazgeologiya</w:t>
      </w:r>
      <w:proofErr w:type="spellEnd"/>
      <w:r w:rsidRPr="00637B87">
        <w:rPr>
          <w:sz w:val="22"/>
          <w:szCs w:val="22"/>
          <w:lang w:val="en-US"/>
        </w:rPr>
        <w:t xml:space="preserve"> in exploration</w:t>
      </w:r>
      <w:r>
        <w:rPr>
          <w:sz w:val="22"/>
          <w:szCs w:val="22"/>
          <w:lang w:val="en-US"/>
        </w:rPr>
        <w:t xml:space="preserve"> </w:t>
      </w:r>
      <w:r w:rsidRPr="00637B87">
        <w:rPr>
          <w:sz w:val="22"/>
          <w:szCs w:val="22"/>
          <w:lang w:val="en-US"/>
        </w:rPr>
        <w:t>of manganese ore</w:t>
      </w:r>
      <w:r>
        <w:rPr>
          <w:sz w:val="22"/>
          <w:szCs w:val="22"/>
          <w:lang w:val="en-US"/>
        </w:rPr>
        <w:t xml:space="preserve"> </w:t>
      </w:r>
      <w:r w:rsidR="0080596B">
        <w:rPr>
          <w:sz w:val="22"/>
          <w:szCs w:val="22"/>
          <w:lang w:val="en-US"/>
        </w:rPr>
        <w:t>by</w:t>
      </w:r>
      <w:r w:rsidRPr="00637B87">
        <w:rPr>
          <w:sz w:val="22"/>
          <w:szCs w:val="22"/>
          <w:lang w:val="en-US"/>
        </w:rPr>
        <w:t xml:space="preserve"> T</w:t>
      </w:r>
      <w:r>
        <w:rPr>
          <w:sz w:val="22"/>
          <w:szCs w:val="22"/>
          <w:lang w:val="en-US"/>
        </w:rPr>
        <w:t>GC</w:t>
      </w:r>
      <w:r w:rsidRPr="00637B87">
        <w:rPr>
          <w:sz w:val="22"/>
          <w:szCs w:val="22"/>
          <w:lang w:val="en-US"/>
        </w:rPr>
        <w:t xml:space="preserve"> </w:t>
      </w:r>
      <w:r>
        <w:rPr>
          <w:sz w:val="22"/>
          <w:szCs w:val="22"/>
          <w:lang w:val="en-US"/>
        </w:rPr>
        <w:t>“</w:t>
      </w:r>
      <w:proofErr w:type="spellStart"/>
      <w:r w:rsidRPr="00637B87">
        <w:rPr>
          <w:sz w:val="22"/>
          <w:szCs w:val="22"/>
          <w:lang w:val="en-US"/>
        </w:rPr>
        <w:t>Kazchrome</w:t>
      </w:r>
      <w:proofErr w:type="spellEnd"/>
      <w:r>
        <w:rPr>
          <w:sz w:val="22"/>
          <w:szCs w:val="22"/>
          <w:lang w:val="en-US"/>
        </w:rPr>
        <w:t xml:space="preserve">” in </w:t>
      </w:r>
      <w:proofErr w:type="spellStart"/>
      <w:r>
        <w:rPr>
          <w:sz w:val="22"/>
          <w:szCs w:val="22"/>
          <w:lang w:val="en-US"/>
        </w:rPr>
        <w:t>Ulutauskiy</w:t>
      </w:r>
      <w:proofErr w:type="spellEnd"/>
      <w:r w:rsidRPr="00637B87">
        <w:rPr>
          <w:sz w:val="22"/>
          <w:szCs w:val="22"/>
          <w:lang w:val="en-US"/>
        </w:rPr>
        <w:t xml:space="preserve"> district of Karaganda region.</w:t>
      </w:r>
    </w:p>
    <w:p w:rsidR="00637B87" w:rsidRPr="00637B87" w:rsidRDefault="00637B87" w:rsidP="00627857">
      <w:pPr>
        <w:tabs>
          <w:tab w:val="left" w:pos="284"/>
          <w:tab w:val="left" w:pos="993"/>
        </w:tabs>
        <w:autoSpaceDE w:val="0"/>
        <w:autoSpaceDN w:val="0"/>
        <w:adjustRightInd w:val="0"/>
        <w:ind w:left="-567" w:firstLine="709"/>
        <w:jc w:val="both"/>
        <w:rPr>
          <w:sz w:val="22"/>
          <w:szCs w:val="22"/>
          <w:lang w:val="en-US"/>
        </w:rPr>
      </w:pPr>
      <w:r w:rsidRPr="00637B87">
        <w:rPr>
          <w:sz w:val="22"/>
          <w:szCs w:val="22"/>
          <w:lang w:val="en-US"/>
        </w:rPr>
        <w:t xml:space="preserve">2) </w:t>
      </w:r>
      <w:r w:rsidR="0080596B" w:rsidRPr="00637B87">
        <w:rPr>
          <w:sz w:val="22"/>
          <w:szCs w:val="22"/>
          <w:lang w:val="en-US"/>
        </w:rPr>
        <w:t xml:space="preserve">Agreement on the transfer of shares of </w:t>
      </w:r>
      <w:r w:rsidR="0080596B">
        <w:rPr>
          <w:sz w:val="22"/>
          <w:szCs w:val="22"/>
          <w:lang w:val="en-US"/>
        </w:rPr>
        <w:t>“</w:t>
      </w:r>
      <w:proofErr w:type="spellStart"/>
      <w:r w:rsidR="0080596B">
        <w:rPr>
          <w:sz w:val="22"/>
          <w:szCs w:val="22"/>
          <w:lang w:val="en-US"/>
        </w:rPr>
        <w:t>Kazgeologiya</w:t>
      </w:r>
      <w:proofErr w:type="spellEnd"/>
      <w:r w:rsidR="0080596B">
        <w:rPr>
          <w:sz w:val="22"/>
          <w:szCs w:val="22"/>
          <w:lang w:val="en-US"/>
        </w:rPr>
        <w:t>”</w:t>
      </w:r>
      <w:r w:rsidR="0080596B" w:rsidRPr="00637B87">
        <w:rPr>
          <w:sz w:val="22"/>
          <w:szCs w:val="22"/>
          <w:lang w:val="en-US"/>
        </w:rPr>
        <w:t xml:space="preserve"> JSC in trust </w:t>
      </w:r>
      <w:r w:rsidR="0080596B">
        <w:rPr>
          <w:sz w:val="22"/>
          <w:szCs w:val="22"/>
          <w:lang w:val="en-US"/>
        </w:rPr>
        <w:t xml:space="preserve">management is </w:t>
      </w:r>
      <w:r w:rsidR="0080596B" w:rsidRPr="00637B87">
        <w:rPr>
          <w:sz w:val="22"/>
          <w:szCs w:val="22"/>
          <w:lang w:val="en-US"/>
        </w:rPr>
        <w:t xml:space="preserve">signed </w:t>
      </w:r>
      <w:r w:rsidRPr="00637B87">
        <w:rPr>
          <w:sz w:val="22"/>
          <w:szCs w:val="22"/>
          <w:lang w:val="en-US"/>
        </w:rPr>
        <w:t xml:space="preserve">between </w:t>
      </w:r>
      <w:r w:rsidR="0080596B">
        <w:rPr>
          <w:sz w:val="22"/>
          <w:szCs w:val="22"/>
          <w:lang w:val="en-US"/>
        </w:rPr>
        <w:t>“Samruk-Kazyna”</w:t>
      </w:r>
      <w:r w:rsidRPr="00637B87">
        <w:rPr>
          <w:sz w:val="22"/>
          <w:szCs w:val="22"/>
          <w:lang w:val="en-US"/>
        </w:rPr>
        <w:t xml:space="preserve"> </w:t>
      </w:r>
      <w:r w:rsidR="0080596B" w:rsidRPr="00637B87">
        <w:rPr>
          <w:sz w:val="22"/>
          <w:szCs w:val="22"/>
          <w:lang w:val="en-US"/>
        </w:rPr>
        <w:t xml:space="preserve">JSC </w:t>
      </w:r>
      <w:r w:rsidRPr="00637B87">
        <w:rPr>
          <w:sz w:val="22"/>
          <w:szCs w:val="22"/>
          <w:lang w:val="en-US"/>
        </w:rPr>
        <w:t xml:space="preserve">and the Ministry of Industry and </w:t>
      </w:r>
      <w:r w:rsidR="0080596B">
        <w:rPr>
          <w:sz w:val="22"/>
          <w:szCs w:val="22"/>
          <w:lang w:val="en-US"/>
        </w:rPr>
        <w:t>New Technologies</w:t>
      </w:r>
      <w:r w:rsidRPr="00637B87">
        <w:rPr>
          <w:sz w:val="22"/>
          <w:szCs w:val="22"/>
          <w:lang w:val="en-US"/>
        </w:rPr>
        <w:t xml:space="preserve"> of the Republic of Kazakhstan;</w:t>
      </w:r>
    </w:p>
    <w:p w:rsidR="00637B87" w:rsidRPr="00637B87" w:rsidRDefault="00637B87" w:rsidP="00627857">
      <w:pPr>
        <w:tabs>
          <w:tab w:val="left" w:pos="284"/>
          <w:tab w:val="left" w:pos="993"/>
        </w:tabs>
        <w:autoSpaceDE w:val="0"/>
        <w:autoSpaceDN w:val="0"/>
        <w:adjustRightInd w:val="0"/>
        <w:ind w:left="-567" w:firstLine="709"/>
        <w:jc w:val="both"/>
        <w:rPr>
          <w:sz w:val="22"/>
          <w:szCs w:val="22"/>
          <w:lang w:val="en-US"/>
        </w:rPr>
      </w:pPr>
      <w:r w:rsidRPr="00637B87">
        <w:rPr>
          <w:sz w:val="22"/>
          <w:szCs w:val="22"/>
          <w:lang w:val="en-US"/>
        </w:rPr>
        <w:t xml:space="preserve">Actual </w:t>
      </w:r>
      <w:r w:rsidR="0080596B">
        <w:rPr>
          <w:sz w:val="22"/>
          <w:szCs w:val="22"/>
          <w:lang w:val="en-US"/>
        </w:rPr>
        <w:t xml:space="preserve">staff </w:t>
      </w:r>
      <w:r w:rsidRPr="00637B87">
        <w:rPr>
          <w:sz w:val="22"/>
          <w:szCs w:val="22"/>
          <w:lang w:val="en-US"/>
        </w:rPr>
        <w:t xml:space="preserve">number </w:t>
      </w:r>
      <w:r w:rsidR="0080596B">
        <w:rPr>
          <w:sz w:val="22"/>
          <w:szCs w:val="22"/>
          <w:lang w:val="en-US"/>
        </w:rPr>
        <w:t>as of</w:t>
      </w:r>
      <w:r w:rsidRPr="00637B87">
        <w:rPr>
          <w:sz w:val="22"/>
          <w:szCs w:val="22"/>
          <w:lang w:val="en-US"/>
        </w:rPr>
        <w:t xml:space="preserve"> 1 July 2012 </w:t>
      </w:r>
      <w:r w:rsidR="0080596B">
        <w:rPr>
          <w:sz w:val="22"/>
          <w:szCs w:val="22"/>
          <w:lang w:val="en-US"/>
        </w:rPr>
        <w:t>amounted to</w:t>
      </w:r>
      <w:r w:rsidRPr="00637B87">
        <w:rPr>
          <w:sz w:val="22"/>
          <w:szCs w:val="22"/>
          <w:lang w:val="en-US"/>
        </w:rPr>
        <w:t xml:space="preserve"> 51.</w:t>
      </w:r>
    </w:p>
    <w:p w:rsidR="00637B87" w:rsidRDefault="00637B87" w:rsidP="00627857">
      <w:pPr>
        <w:tabs>
          <w:tab w:val="left" w:pos="284"/>
          <w:tab w:val="left" w:pos="993"/>
        </w:tabs>
        <w:autoSpaceDE w:val="0"/>
        <w:autoSpaceDN w:val="0"/>
        <w:adjustRightInd w:val="0"/>
        <w:ind w:left="-567" w:firstLine="709"/>
        <w:jc w:val="both"/>
        <w:rPr>
          <w:sz w:val="22"/>
          <w:szCs w:val="22"/>
          <w:lang w:val="en-US"/>
        </w:rPr>
      </w:pPr>
      <w:r w:rsidRPr="00637B87">
        <w:rPr>
          <w:sz w:val="22"/>
          <w:szCs w:val="22"/>
          <w:lang w:val="en-US"/>
        </w:rPr>
        <w:t xml:space="preserve">Capital expenditure of an administrative </w:t>
      </w:r>
      <w:r w:rsidR="0080596B">
        <w:rPr>
          <w:sz w:val="22"/>
          <w:szCs w:val="22"/>
          <w:lang w:val="en-US"/>
        </w:rPr>
        <w:t>nature for H1 2012 amounted to KZT</w:t>
      </w:r>
      <w:r w:rsidRPr="00637B87">
        <w:rPr>
          <w:sz w:val="22"/>
          <w:szCs w:val="22"/>
          <w:lang w:val="en-US"/>
        </w:rPr>
        <w:t xml:space="preserve"> 5 billion.</w:t>
      </w:r>
    </w:p>
    <w:p w:rsidR="002664E4" w:rsidRPr="002356D5" w:rsidRDefault="00AA50DC" w:rsidP="00627857">
      <w:pPr>
        <w:tabs>
          <w:tab w:val="left" w:pos="284"/>
          <w:tab w:val="left" w:pos="993"/>
        </w:tabs>
        <w:autoSpaceDE w:val="0"/>
        <w:autoSpaceDN w:val="0"/>
        <w:adjustRightInd w:val="0"/>
        <w:ind w:left="-567" w:firstLine="709"/>
        <w:jc w:val="both"/>
        <w:rPr>
          <w:sz w:val="22"/>
          <w:szCs w:val="22"/>
          <w:lang w:val="en-US"/>
        </w:rPr>
      </w:pPr>
      <w:r w:rsidRPr="00AA50DC">
        <w:rPr>
          <w:b/>
          <w:color w:val="000000"/>
          <w:sz w:val="22"/>
          <w:szCs w:val="22"/>
          <w:lang w:val="en-US"/>
        </w:rPr>
        <w:t>JSC</w:t>
      </w:r>
      <w:r>
        <w:rPr>
          <w:b/>
          <w:sz w:val="22"/>
          <w:szCs w:val="22"/>
          <w:lang w:val="en-US"/>
        </w:rPr>
        <w:t xml:space="preserve"> </w:t>
      </w:r>
      <w:r w:rsidRPr="00AA50DC">
        <w:rPr>
          <w:b/>
          <w:color w:val="000000"/>
          <w:sz w:val="22"/>
          <w:szCs w:val="22"/>
          <w:lang w:val="en-US"/>
        </w:rPr>
        <w:t>“</w:t>
      </w:r>
      <w:r>
        <w:rPr>
          <w:b/>
          <w:color w:val="000000"/>
          <w:sz w:val="22"/>
          <w:szCs w:val="22"/>
          <w:lang w:val="en-US"/>
        </w:rPr>
        <w:t>NC “</w:t>
      </w:r>
      <w:r w:rsidRPr="00AA50DC">
        <w:rPr>
          <w:b/>
          <w:color w:val="000000"/>
          <w:sz w:val="22"/>
          <w:szCs w:val="22"/>
          <w:lang w:val="en-US"/>
        </w:rPr>
        <w:t xml:space="preserve">Kazakhstan Engineering” </w:t>
      </w:r>
      <w:r>
        <w:rPr>
          <w:b/>
          <w:sz w:val="22"/>
          <w:szCs w:val="22"/>
          <w:lang w:val="en-US"/>
        </w:rPr>
        <w:t xml:space="preserve">(hereinafter – </w:t>
      </w:r>
      <w:r w:rsidR="002664E4">
        <w:rPr>
          <w:b/>
          <w:sz w:val="22"/>
          <w:szCs w:val="22"/>
          <w:lang w:val="en-US"/>
        </w:rPr>
        <w:t>KE</w:t>
      </w:r>
      <w:r>
        <w:rPr>
          <w:b/>
          <w:sz w:val="22"/>
          <w:szCs w:val="22"/>
          <w:lang w:val="en-US"/>
        </w:rPr>
        <w:t>)</w:t>
      </w:r>
      <w:r w:rsidR="002664E4" w:rsidRPr="002356D5">
        <w:rPr>
          <w:b/>
          <w:sz w:val="22"/>
          <w:szCs w:val="22"/>
          <w:lang w:val="en-US"/>
        </w:rPr>
        <w:t xml:space="preserve"> </w:t>
      </w:r>
      <w:r w:rsidR="002664E4" w:rsidRPr="002356D5">
        <w:rPr>
          <w:sz w:val="22"/>
          <w:szCs w:val="22"/>
          <w:lang w:val="en-US"/>
        </w:rPr>
        <w:t xml:space="preserve">is a holding structure, which provides a unified financial, industrial and technology policy at the largest enterprises of the </w:t>
      </w:r>
      <w:r w:rsidR="002664E4">
        <w:rPr>
          <w:sz w:val="22"/>
          <w:szCs w:val="22"/>
          <w:lang w:val="en-US"/>
        </w:rPr>
        <w:t>R</w:t>
      </w:r>
      <w:r w:rsidR="002664E4" w:rsidRPr="002356D5">
        <w:rPr>
          <w:sz w:val="22"/>
          <w:szCs w:val="22"/>
          <w:lang w:val="en-US"/>
        </w:rPr>
        <w:t xml:space="preserve">epublic and </w:t>
      </w:r>
      <w:r w:rsidR="002664E4">
        <w:rPr>
          <w:sz w:val="22"/>
          <w:szCs w:val="22"/>
          <w:lang w:val="en-US"/>
        </w:rPr>
        <w:t xml:space="preserve">is in the trust management </w:t>
      </w:r>
      <w:r w:rsidR="002664E4" w:rsidRPr="002356D5">
        <w:rPr>
          <w:sz w:val="22"/>
          <w:szCs w:val="22"/>
          <w:lang w:val="en-US"/>
        </w:rPr>
        <w:t>of the Ministry of Defense</w:t>
      </w:r>
      <w:r>
        <w:rPr>
          <w:sz w:val="22"/>
          <w:szCs w:val="22"/>
          <w:lang w:val="en-US"/>
        </w:rPr>
        <w:t xml:space="preserve"> of the Republic of Kazakhstan</w:t>
      </w:r>
      <w:r w:rsidR="002664E4" w:rsidRPr="002356D5">
        <w:rPr>
          <w:sz w:val="22"/>
          <w:szCs w:val="22"/>
          <w:lang w:val="en-US"/>
        </w:rPr>
        <w:t>.</w:t>
      </w:r>
    </w:p>
    <w:p w:rsidR="002664E4" w:rsidRPr="002356D5" w:rsidRDefault="002664E4" w:rsidP="002664E4">
      <w:pPr>
        <w:tabs>
          <w:tab w:val="left" w:pos="426"/>
          <w:tab w:val="left" w:pos="993"/>
        </w:tabs>
        <w:autoSpaceDE w:val="0"/>
        <w:autoSpaceDN w:val="0"/>
        <w:adjustRightInd w:val="0"/>
        <w:ind w:left="-567" w:firstLine="567"/>
        <w:jc w:val="both"/>
        <w:rPr>
          <w:sz w:val="22"/>
          <w:szCs w:val="22"/>
          <w:lang w:val="en-US"/>
        </w:rPr>
      </w:pPr>
      <w:r w:rsidRPr="002356D5">
        <w:rPr>
          <w:sz w:val="22"/>
          <w:szCs w:val="22"/>
          <w:lang w:val="en-US"/>
        </w:rPr>
        <w:t xml:space="preserve">The mission of the </w:t>
      </w:r>
      <w:r>
        <w:rPr>
          <w:sz w:val="22"/>
          <w:szCs w:val="22"/>
          <w:lang w:val="en-US"/>
        </w:rPr>
        <w:t>KE</w:t>
      </w:r>
      <w:r w:rsidRPr="002356D5">
        <w:rPr>
          <w:sz w:val="22"/>
          <w:szCs w:val="22"/>
          <w:lang w:val="en-US"/>
        </w:rPr>
        <w:t xml:space="preserve"> </w:t>
      </w:r>
      <w:r w:rsidR="0077204C">
        <w:rPr>
          <w:sz w:val="22"/>
          <w:szCs w:val="22"/>
          <w:lang w:val="en-US"/>
        </w:rPr>
        <w:t>is</w:t>
      </w:r>
      <w:r w:rsidRPr="002356D5">
        <w:rPr>
          <w:sz w:val="22"/>
          <w:szCs w:val="22"/>
          <w:lang w:val="en-US"/>
        </w:rPr>
        <w:t xml:space="preserve"> </w:t>
      </w:r>
      <w:r>
        <w:rPr>
          <w:sz w:val="22"/>
          <w:szCs w:val="22"/>
          <w:lang w:val="en-US"/>
        </w:rPr>
        <w:t xml:space="preserve">to provide </w:t>
      </w:r>
      <w:r w:rsidRPr="002356D5">
        <w:rPr>
          <w:sz w:val="22"/>
          <w:szCs w:val="22"/>
          <w:lang w:val="en-US"/>
        </w:rPr>
        <w:t>participation in realization of state policy in the development, production, sales of defense, civil and dual use for domestic needs and exports.</w:t>
      </w:r>
    </w:p>
    <w:p w:rsidR="002664E4" w:rsidRPr="008E13FF" w:rsidRDefault="002664E4" w:rsidP="002664E4">
      <w:pPr>
        <w:tabs>
          <w:tab w:val="left" w:pos="426"/>
          <w:tab w:val="left" w:pos="993"/>
        </w:tabs>
        <w:autoSpaceDE w:val="0"/>
        <w:autoSpaceDN w:val="0"/>
        <w:adjustRightInd w:val="0"/>
        <w:ind w:left="-567" w:firstLine="567"/>
        <w:jc w:val="both"/>
        <w:rPr>
          <w:b/>
          <w:sz w:val="22"/>
          <w:szCs w:val="22"/>
          <w:lang w:val="en-US"/>
        </w:rPr>
      </w:pPr>
      <w:r w:rsidRPr="002356D5">
        <w:rPr>
          <w:sz w:val="22"/>
          <w:szCs w:val="22"/>
          <w:lang w:val="en-US"/>
        </w:rPr>
        <w:t xml:space="preserve">  The structure of the </w:t>
      </w:r>
      <w:r>
        <w:rPr>
          <w:sz w:val="22"/>
          <w:szCs w:val="22"/>
          <w:lang w:val="en-US"/>
        </w:rPr>
        <w:t>KE includes</w:t>
      </w:r>
      <w:r w:rsidR="00AA50DC">
        <w:rPr>
          <w:sz w:val="22"/>
          <w:szCs w:val="22"/>
          <w:lang w:val="en-US"/>
        </w:rPr>
        <w:t xml:space="preserve"> 3</w:t>
      </w:r>
      <w:r w:rsidR="00D739E9">
        <w:rPr>
          <w:sz w:val="22"/>
          <w:szCs w:val="22"/>
          <w:lang w:val="en-US"/>
        </w:rPr>
        <w:t>3</w:t>
      </w:r>
      <w:r w:rsidRPr="002356D5">
        <w:rPr>
          <w:sz w:val="22"/>
          <w:szCs w:val="22"/>
          <w:lang w:val="en-US"/>
        </w:rPr>
        <w:t xml:space="preserve"> companies on three levels. </w:t>
      </w:r>
      <w:r>
        <w:rPr>
          <w:sz w:val="22"/>
          <w:szCs w:val="22"/>
          <w:lang w:val="en-US"/>
        </w:rPr>
        <w:t>The KE is</w:t>
      </w:r>
      <w:r w:rsidRPr="002356D5">
        <w:rPr>
          <w:sz w:val="22"/>
          <w:szCs w:val="22"/>
          <w:lang w:val="en-US"/>
        </w:rPr>
        <w:t xml:space="preserve"> specialize</w:t>
      </w:r>
      <w:r>
        <w:rPr>
          <w:sz w:val="22"/>
          <w:szCs w:val="22"/>
          <w:lang w:val="en-US"/>
        </w:rPr>
        <w:t>d</w:t>
      </w:r>
      <w:r w:rsidRPr="002356D5">
        <w:rPr>
          <w:sz w:val="22"/>
          <w:szCs w:val="22"/>
          <w:lang w:val="en-US"/>
        </w:rPr>
        <w:t xml:space="preserve"> in products and services for oil and gas, rail, military-industrial complexes, as well as in the areas of electronics, agriculture and others, including the production of consumer goods</w:t>
      </w:r>
      <w:r w:rsidRPr="002356D5">
        <w:rPr>
          <w:b/>
          <w:sz w:val="22"/>
          <w:szCs w:val="22"/>
          <w:lang w:val="en-US"/>
        </w:rPr>
        <w:t>.</w:t>
      </w:r>
    </w:p>
    <w:p w:rsidR="0029685A" w:rsidRPr="0029685A" w:rsidRDefault="00AA50DC" w:rsidP="0029685A">
      <w:pPr>
        <w:tabs>
          <w:tab w:val="left" w:pos="426"/>
          <w:tab w:val="left" w:pos="993"/>
        </w:tabs>
        <w:autoSpaceDE w:val="0"/>
        <w:autoSpaceDN w:val="0"/>
        <w:adjustRightInd w:val="0"/>
        <w:ind w:left="-567" w:firstLine="567"/>
        <w:jc w:val="both"/>
        <w:rPr>
          <w:sz w:val="22"/>
          <w:szCs w:val="22"/>
          <w:lang w:val="en-US"/>
        </w:rPr>
      </w:pPr>
      <w:r w:rsidRPr="00AA50DC">
        <w:rPr>
          <w:sz w:val="22"/>
          <w:szCs w:val="22"/>
          <w:lang w:val="en-US"/>
        </w:rPr>
        <w:t>In the reporting period pursuant to</w:t>
      </w:r>
      <w:r>
        <w:rPr>
          <w:sz w:val="22"/>
          <w:szCs w:val="22"/>
          <w:lang w:val="en-US"/>
        </w:rPr>
        <w:t xml:space="preserve"> decisions of</w:t>
      </w:r>
      <w:r w:rsidRPr="00AA50DC">
        <w:rPr>
          <w:sz w:val="22"/>
          <w:szCs w:val="22"/>
          <w:lang w:val="en-US"/>
        </w:rPr>
        <w:t xml:space="preserve"> the Trustee (the order of the Minister of Defense of Kazakhstan </w:t>
      </w:r>
      <w:r>
        <w:rPr>
          <w:sz w:val="22"/>
          <w:szCs w:val="22"/>
          <w:lang w:val="en-US"/>
        </w:rPr>
        <w:t>#</w:t>
      </w:r>
      <w:r w:rsidRPr="00AA50DC">
        <w:rPr>
          <w:sz w:val="22"/>
          <w:szCs w:val="22"/>
          <w:lang w:val="en-US"/>
        </w:rPr>
        <w:t xml:space="preserve"> 48 </w:t>
      </w:r>
      <w:r>
        <w:rPr>
          <w:sz w:val="22"/>
          <w:szCs w:val="22"/>
          <w:lang w:val="en-US"/>
        </w:rPr>
        <w:t>dated</w:t>
      </w:r>
      <w:r w:rsidRPr="00AA50DC">
        <w:rPr>
          <w:sz w:val="22"/>
          <w:szCs w:val="22"/>
          <w:lang w:val="en-US"/>
        </w:rPr>
        <w:t xml:space="preserve"> 27 January 2011) and the Management Board of </w:t>
      </w:r>
      <w:r>
        <w:rPr>
          <w:sz w:val="22"/>
          <w:szCs w:val="22"/>
          <w:lang w:val="en-US"/>
        </w:rPr>
        <w:t>“</w:t>
      </w:r>
      <w:r w:rsidRPr="00AA50DC">
        <w:rPr>
          <w:sz w:val="22"/>
          <w:szCs w:val="22"/>
          <w:lang w:val="en-US"/>
        </w:rPr>
        <w:t>Samruk-Kazyna</w:t>
      </w:r>
      <w:r>
        <w:rPr>
          <w:sz w:val="22"/>
          <w:szCs w:val="22"/>
          <w:lang w:val="en-US"/>
        </w:rPr>
        <w:t>”</w:t>
      </w:r>
      <w:r w:rsidRPr="00AA50DC">
        <w:rPr>
          <w:sz w:val="22"/>
          <w:szCs w:val="22"/>
          <w:lang w:val="en-US"/>
        </w:rPr>
        <w:t xml:space="preserve"> JSC </w:t>
      </w:r>
      <w:r>
        <w:rPr>
          <w:sz w:val="22"/>
          <w:szCs w:val="22"/>
          <w:lang w:val="en-US"/>
        </w:rPr>
        <w:t>#</w:t>
      </w:r>
      <w:r w:rsidRPr="00AA50DC">
        <w:rPr>
          <w:sz w:val="22"/>
          <w:szCs w:val="22"/>
          <w:lang w:val="en-US"/>
        </w:rPr>
        <w:t xml:space="preserve"> 27/11</w:t>
      </w:r>
      <w:r>
        <w:rPr>
          <w:sz w:val="22"/>
          <w:szCs w:val="22"/>
          <w:lang w:val="en-US"/>
        </w:rPr>
        <w:t xml:space="preserve"> dated</w:t>
      </w:r>
      <w:r w:rsidRPr="00AA50DC">
        <w:rPr>
          <w:sz w:val="22"/>
          <w:szCs w:val="22"/>
          <w:lang w:val="en-US"/>
        </w:rPr>
        <w:t xml:space="preserve"> June 21, 2011, in the 1st half of 2012 the payment of </w:t>
      </w:r>
      <w:r>
        <w:rPr>
          <w:sz w:val="22"/>
          <w:szCs w:val="22"/>
          <w:lang w:val="en-US"/>
        </w:rPr>
        <w:t>KE dividends for 2007</w:t>
      </w:r>
      <w:r w:rsidRPr="00AA50DC">
        <w:rPr>
          <w:sz w:val="22"/>
          <w:szCs w:val="22"/>
          <w:lang w:val="en-US"/>
        </w:rPr>
        <w:t xml:space="preserve">-2008 </w:t>
      </w:r>
      <w:r>
        <w:rPr>
          <w:sz w:val="22"/>
          <w:szCs w:val="22"/>
          <w:lang w:val="en-US"/>
        </w:rPr>
        <w:t>by</w:t>
      </w:r>
      <w:r w:rsidRPr="00AA50DC">
        <w:rPr>
          <w:sz w:val="22"/>
          <w:szCs w:val="22"/>
          <w:lang w:val="en-US"/>
        </w:rPr>
        <w:t xml:space="preserve"> </w:t>
      </w:r>
      <w:r>
        <w:rPr>
          <w:sz w:val="22"/>
          <w:szCs w:val="22"/>
          <w:lang w:val="en-US"/>
        </w:rPr>
        <w:t>“Samruk-Kazyna” JSC</w:t>
      </w:r>
      <w:r w:rsidRPr="00AA50DC">
        <w:rPr>
          <w:sz w:val="22"/>
          <w:szCs w:val="22"/>
          <w:lang w:val="en-US"/>
        </w:rPr>
        <w:t xml:space="preserve"> in the amount of </w:t>
      </w:r>
      <w:r>
        <w:rPr>
          <w:sz w:val="22"/>
          <w:szCs w:val="22"/>
          <w:lang w:val="en-US"/>
        </w:rPr>
        <w:t xml:space="preserve">KZT </w:t>
      </w:r>
      <w:r w:rsidRPr="00AA50DC">
        <w:rPr>
          <w:sz w:val="22"/>
          <w:szCs w:val="22"/>
          <w:lang w:val="en-US"/>
        </w:rPr>
        <w:t xml:space="preserve">25 million and </w:t>
      </w:r>
      <w:r>
        <w:rPr>
          <w:sz w:val="22"/>
          <w:szCs w:val="22"/>
          <w:lang w:val="en-US"/>
        </w:rPr>
        <w:t>a part of</w:t>
      </w:r>
      <w:r w:rsidRPr="00AA50DC">
        <w:rPr>
          <w:sz w:val="22"/>
          <w:szCs w:val="22"/>
          <w:lang w:val="en-US"/>
        </w:rPr>
        <w:t xml:space="preserve"> financial assistance granted </w:t>
      </w:r>
      <w:r>
        <w:rPr>
          <w:sz w:val="22"/>
          <w:szCs w:val="22"/>
          <w:lang w:val="en-US"/>
        </w:rPr>
        <w:t xml:space="preserve">to </w:t>
      </w:r>
      <w:r w:rsidRPr="00AA50DC">
        <w:rPr>
          <w:sz w:val="22"/>
          <w:szCs w:val="22"/>
          <w:lang w:val="en-US"/>
        </w:rPr>
        <w:t xml:space="preserve">KI in the amount of </w:t>
      </w:r>
      <w:r>
        <w:rPr>
          <w:sz w:val="22"/>
          <w:szCs w:val="22"/>
          <w:lang w:val="en-US"/>
        </w:rPr>
        <w:t xml:space="preserve">KZT </w:t>
      </w:r>
      <w:r w:rsidRPr="00AA50DC">
        <w:rPr>
          <w:sz w:val="22"/>
          <w:szCs w:val="22"/>
          <w:lang w:val="en-US"/>
        </w:rPr>
        <w:t>75 million</w:t>
      </w:r>
      <w:r w:rsidR="000364C7">
        <w:rPr>
          <w:sz w:val="22"/>
          <w:szCs w:val="22"/>
          <w:lang w:val="en-US"/>
        </w:rPr>
        <w:t xml:space="preserve"> are ensured</w:t>
      </w:r>
      <w:r w:rsidRPr="00AA50DC">
        <w:rPr>
          <w:sz w:val="22"/>
          <w:szCs w:val="22"/>
          <w:lang w:val="en-US"/>
        </w:rPr>
        <w:t>.</w:t>
      </w:r>
      <w:r w:rsidR="0029685A" w:rsidRPr="0029685A">
        <w:rPr>
          <w:sz w:val="22"/>
          <w:szCs w:val="22"/>
          <w:lang w:val="en-US"/>
        </w:rPr>
        <w:t xml:space="preserve"> In addition, pursuant to decision of the Management Board of "Samruk-Kazyna" JSC # 06/12 dated January 24, 2012, during the period of the current year "Samruk-Kazyna" JSC provided the payment of KE dividends for 2010 in the amount of KZT 48.3 million.</w:t>
      </w:r>
    </w:p>
    <w:p w:rsidR="009F1974" w:rsidRPr="00B5727B" w:rsidRDefault="009F1974" w:rsidP="0029685A">
      <w:pPr>
        <w:tabs>
          <w:tab w:val="left" w:pos="426"/>
          <w:tab w:val="left" w:pos="993"/>
        </w:tabs>
        <w:autoSpaceDE w:val="0"/>
        <w:autoSpaceDN w:val="0"/>
        <w:adjustRightInd w:val="0"/>
        <w:jc w:val="both"/>
        <w:rPr>
          <w:sz w:val="22"/>
          <w:szCs w:val="22"/>
          <w:lang w:val="en-US"/>
        </w:rPr>
      </w:pPr>
    </w:p>
    <w:p w:rsidR="009F1974" w:rsidRDefault="002664E4" w:rsidP="002664E4">
      <w:pPr>
        <w:tabs>
          <w:tab w:val="left" w:pos="426"/>
          <w:tab w:val="left" w:pos="993"/>
        </w:tabs>
        <w:autoSpaceDE w:val="0"/>
        <w:autoSpaceDN w:val="0"/>
        <w:adjustRightInd w:val="0"/>
        <w:ind w:left="-567" w:firstLine="567"/>
        <w:jc w:val="both"/>
        <w:rPr>
          <w:bCs/>
          <w:sz w:val="22"/>
          <w:szCs w:val="22"/>
          <w:lang w:val="en-US"/>
        </w:rPr>
      </w:pPr>
      <w:r w:rsidRPr="002356D5">
        <w:rPr>
          <w:sz w:val="22"/>
          <w:szCs w:val="22"/>
          <w:lang w:val="en-US"/>
        </w:rPr>
        <w:t>“</w:t>
      </w:r>
      <w:r w:rsidRPr="002356D5">
        <w:rPr>
          <w:b/>
          <w:sz w:val="22"/>
          <w:szCs w:val="22"/>
          <w:lang w:val="en-US"/>
        </w:rPr>
        <w:t>Transportation</w:t>
      </w:r>
      <w:r w:rsidRPr="002356D5">
        <w:rPr>
          <w:sz w:val="22"/>
          <w:szCs w:val="22"/>
          <w:lang w:val="en-US"/>
        </w:rPr>
        <w:t>”</w:t>
      </w:r>
      <w:r>
        <w:rPr>
          <w:sz w:val="22"/>
          <w:szCs w:val="22"/>
          <w:lang w:val="en-US"/>
        </w:rPr>
        <w:t xml:space="preserve"> Segment includes</w:t>
      </w:r>
      <w:r w:rsidRPr="002356D5">
        <w:rPr>
          <w:b/>
          <w:sz w:val="22"/>
          <w:szCs w:val="22"/>
          <w:lang w:val="en-US"/>
        </w:rPr>
        <w:t xml:space="preserve"> </w:t>
      </w:r>
      <w:r w:rsidRPr="00B635DE">
        <w:rPr>
          <w:sz w:val="22"/>
          <w:szCs w:val="22"/>
          <w:lang w:val="en-US"/>
        </w:rPr>
        <w:t>Companies</w:t>
      </w:r>
      <w:r w:rsidRPr="002356D5">
        <w:rPr>
          <w:sz w:val="22"/>
          <w:szCs w:val="22"/>
          <w:lang w:val="en-US"/>
        </w:rPr>
        <w:t xml:space="preserve">: </w:t>
      </w:r>
      <w:r>
        <w:rPr>
          <w:sz w:val="22"/>
          <w:szCs w:val="22"/>
          <w:lang w:val="en-US"/>
        </w:rPr>
        <w:t>J</w:t>
      </w:r>
      <w:r w:rsidRPr="00B635DE">
        <w:rPr>
          <w:bCs/>
          <w:sz w:val="22"/>
          <w:szCs w:val="22"/>
          <w:lang w:val="en-US"/>
        </w:rPr>
        <w:t xml:space="preserve">SC </w:t>
      </w:r>
      <w:r>
        <w:rPr>
          <w:bCs/>
          <w:sz w:val="22"/>
          <w:szCs w:val="22"/>
          <w:lang w:val="en-US"/>
        </w:rPr>
        <w:t>“</w:t>
      </w:r>
      <w:r w:rsidRPr="00B635DE">
        <w:rPr>
          <w:bCs/>
          <w:sz w:val="22"/>
          <w:szCs w:val="22"/>
          <w:lang w:val="en-US"/>
        </w:rPr>
        <w:t>NC</w:t>
      </w:r>
      <w:r>
        <w:rPr>
          <w:bCs/>
          <w:sz w:val="22"/>
          <w:szCs w:val="22"/>
          <w:lang w:val="en-US"/>
        </w:rPr>
        <w:t xml:space="preserve"> “</w:t>
      </w:r>
      <w:proofErr w:type="spellStart"/>
      <w:r w:rsidRPr="00B635DE">
        <w:rPr>
          <w:bCs/>
          <w:sz w:val="22"/>
          <w:szCs w:val="22"/>
          <w:lang w:val="en-US"/>
        </w:rPr>
        <w:t>Kazakstan</w:t>
      </w:r>
      <w:proofErr w:type="spellEnd"/>
      <w:r w:rsidRPr="00B635DE">
        <w:rPr>
          <w:bCs/>
          <w:sz w:val="22"/>
          <w:szCs w:val="22"/>
          <w:lang w:val="en-US"/>
        </w:rPr>
        <w:t xml:space="preserve"> </w:t>
      </w:r>
      <w:proofErr w:type="spellStart"/>
      <w:r>
        <w:rPr>
          <w:bCs/>
          <w:sz w:val="22"/>
          <w:szCs w:val="22"/>
          <w:lang w:val="en-US"/>
        </w:rPr>
        <w:t>Temir</w:t>
      </w:r>
      <w:proofErr w:type="spellEnd"/>
      <w:r>
        <w:rPr>
          <w:bCs/>
          <w:sz w:val="22"/>
          <w:szCs w:val="22"/>
          <w:lang w:val="en-US"/>
        </w:rPr>
        <w:t xml:space="preserve"> </w:t>
      </w:r>
      <w:proofErr w:type="spellStart"/>
      <w:r>
        <w:rPr>
          <w:bCs/>
          <w:sz w:val="22"/>
          <w:szCs w:val="22"/>
          <w:lang w:val="en-US"/>
        </w:rPr>
        <w:t>Zholy</w:t>
      </w:r>
      <w:proofErr w:type="spellEnd"/>
      <w:r>
        <w:rPr>
          <w:bCs/>
          <w:sz w:val="22"/>
          <w:szCs w:val="22"/>
          <w:lang w:val="en-US"/>
        </w:rPr>
        <w:t>”, “</w:t>
      </w:r>
      <w:r w:rsidRPr="00B635DE">
        <w:rPr>
          <w:bCs/>
          <w:sz w:val="22"/>
          <w:szCs w:val="22"/>
          <w:lang w:val="en-US"/>
        </w:rPr>
        <w:t>Air Astana</w:t>
      </w:r>
      <w:r>
        <w:rPr>
          <w:bCs/>
          <w:sz w:val="22"/>
          <w:szCs w:val="22"/>
          <w:lang w:val="en-US"/>
        </w:rPr>
        <w:t>” JSC</w:t>
      </w:r>
      <w:r w:rsidR="00746F3D">
        <w:rPr>
          <w:bCs/>
          <w:sz w:val="22"/>
          <w:szCs w:val="22"/>
          <w:lang w:val="en-US"/>
        </w:rPr>
        <w:t xml:space="preserve">, </w:t>
      </w:r>
      <w:r w:rsidRPr="00B635DE">
        <w:rPr>
          <w:bCs/>
          <w:sz w:val="22"/>
          <w:szCs w:val="22"/>
          <w:lang w:val="en-US"/>
        </w:rPr>
        <w:t>JSC</w:t>
      </w:r>
      <w:r>
        <w:rPr>
          <w:bCs/>
          <w:sz w:val="22"/>
          <w:szCs w:val="22"/>
          <w:lang w:val="en-US"/>
        </w:rPr>
        <w:t xml:space="preserve"> “</w:t>
      </w:r>
      <w:r w:rsidRPr="00B635DE">
        <w:rPr>
          <w:bCs/>
          <w:sz w:val="22"/>
          <w:szCs w:val="22"/>
          <w:lang w:val="en-US"/>
        </w:rPr>
        <w:t xml:space="preserve">International Airport </w:t>
      </w:r>
      <w:r>
        <w:rPr>
          <w:bCs/>
          <w:sz w:val="22"/>
          <w:szCs w:val="22"/>
          <w:lang w:val="en-US"/>
        </w:rPr>
        <w:t xml:space="preserve">of </w:t>
      </w:r>
      <w:r w:rsidRPr="00B635DE">
        <w:rPr>
          <w:bCs/>
          <w:sz w:val="22"/>
          <w:szCs w:val="22"/>
          <w:lang w:val="en-US"/>
        </w:rPr>
        <w:t>Atyrau</w:t>
      </w:r>
      <w:r>
        <w:rPr>
          <w:bCs/>
          <w:sz w:val="22"/>
          <w:szCs w:val="22"/>
          <w:lang w:val="en-US"/>
        </w:rPr>
        <w:t>”</w:t>
      </w:r>
      <w:r w:rsidRPr="00B635DE">
        <w:rPr>
          <w:bCs/>
          <w:sz w:val="22"/>
          <w:szCs w:val="22"/>
          <w:lang w:val="en-US"/>
        </w:rPr>
        <w:t xml:space="preserve">, </w:t>
      </w:r>
      <w:r w:rsidR="000F7DD7" w:rsidRPr="00B635DE">
        <w:rPr>
          <w:bCs/>
          <w:sz w:val="22"/>
          <w:szCs w:val="22"/>
          <w:lang w:val="en-US"/>
        </w:rPr>
        <w:t>JSC</w:t>
      </w:r>
      <w:r w:rsidR="000F7DD7">
        <w:rPr>
          <w:bCs/>
          <w:sz w:val="22"/>
          <w:szCs w:val="22"/>
          <w:lang w:val="en-US"/>
        </w:rPr>
        <w:t xml:space="preserve"> </w:t>
      </w:r>
      <w:r w:rsidR="000F7DD7" w:rsidRPr="00B635DE">
        <w:rPr>
          <w:bCs/>
          <w:sz w:val="22"/>
          <w:szCs w:val="22"/>
          <w:lang w:val="en-US"/>
        </w:rPr>
        <w:t>“</w:t>
      </w:r>
      <w:r w:rsidRPr="00B635DE">
        <w:rPr>
          <w:bCs/>
          <w:sz w:val="22"/>
          <w:szCs w:val="22"/>
          <w:lang w:val="en-US"/>
        </w:rPr>
        <w:t xml:space="preserve">International airport of </w:t>
      </w:r>
      <w:proofErr w:type="spellStart"/>
      <w:r w:rsidRPr="00B635DE">
        <w:rPr>
          <w:bCs/>
          <w:sz w:val="22"/>
          <w:szCs w:val="22"/>
          <w:lang w:val="en-US"/>
        </w:rPr>
        <w:t>Aktobe</w:t>
      </w:r>
      <w:proofErr w:type="spellEnd"/>
      <w:r>
        <w:rPr>
          <w:bCs/>
          <w:sz w:val="22"/>
          <w:szCs w:val="22"/>
          <w:lang w:val="en-US"/>
        </w:rPr>
        <w:t>”</w:t>
      </w:r>
      <w:r w:rsidRPr="00B635DE">
        <w:rPr>
          <w:bCs/>
          <w:sz w:val="22"/>
          <w:szCs w:val="22"/>
          <w:lang w:val="en-US"/>
        </w:rPr>
        <w:t>, JSC</w:t>
      </w:r>
      <w:r>
        <w:rPr>
          <w:bCs/>
          <w:sz w:val="22"/>
          <w:szCs w:val="22"/>
          <w:lang w:val="en-US"/>
        </w:rPr>
        <w:t xml:space="preserve"> “</w:t>
      </w:r>
      <w:r w:rsidRPr="00B635DE">
        <w:rPr>
          <w:bCs/>
          <w:sz w:val="22"/>
          <w:szCs w:val="22"/>
          <w:lang w:val="en-US"/>
        </w:rPr>
        <w:t>Airport</w:t>
      </w:r>
      <w:r>
        <w:rPr>
          <w:bCs/>
          <w:sz w:val="22"/>
          <w:szCs w:val="22"/>
          <w:lang w:val="en-US"/>
        </w:rPr>
        <w:t xml:space="preserve"> of </w:t>
      </w:r>
      <w:r w:rsidRPr="00B635DE">
        <w:rPr>
          <w:bCs/>
          <w:sz w:val="22"/>
          <w:szCs w:val="22"/>
          <w:lang w:val="en-US"/>
        </w:rPr>
        <w:t>Pavlodar</w:t>
      </w:r>
      <w:r>
        <w:rPr>
          <w:bCs/>
          <w:sz w:val="22"/>
          <w:szCs w:val="22"/>
          <w:lang w:val="en-US"/>
        </w:rPr>
        <w:t>”</w:t>
      </w:r>
      <w:r w:rsidRPr="00B635DE">
        <w:rPr>
          <w:bCs/>
          <w:sz w:val="22"/>
          <w:szCs w:val="22"/>
          <w:lang w:val="en-US"/>
        </w:rPr>
        <w:t xml:space="preserve">, </w:t>
      </w:r>
      <w:r>
        <w:rPr>
          <w:bCs/>
          <w:sz w:val="22"/>
          <w:szCs w:val="22"/>
          <w:lang w:val="en-US"/>
        </w:rPr>
        <w:t>“</w:t>
      </w:r>
      <w:proofErr w:type="spellStart"/>
      <w:r w:rsidRPr="00B635DE">
        <w:rPr>
          <w:bCs/>
          <w:sz w:val="22"/>
          <w:szCs w:val="22"/>
          <w:lang w:val="en-US"/>
        </w:rPr>
        <w:t>Doszhan</w:t>
      </w:r>
      <w:proofErr w:type="spellEnd"/>
      <w:r w:rsidRPr="00B635DE">
        <w:rPr>
          <w:bCs/>
          <w:sz w:val="22"/>
          <w:szCs w:val="22"/>
          <w:lang w:val="en-US"/>
        </w:rPr>
        <w:t xml:space="preserve"> </w:t>
      </w:r>
      <w:proofErr w:type="spellStart"/>
      <w:r>
        <w:rPr>
          <w:bCs/>
          <w:sz w:val="22"/>
          <w:szCs w:val="22"/>
          <w:lang w:val="en-US"/>
        </w:rPr>
        <w:t>Temir</w:t>
      </w:r>
      <w:proofErr w:type="spellEnd"/>
      <w:r w:rsidRPr="00B635DE">
        <w:rPr>
          <w:bCs/>
          <w:sz w:val="22"/>
          <w:szCs w:val="22"/>
          <w:lang w:val="en-US"/>
        </w:rPr>
        <w:t xml:space="preserve"> </w:t>
      </w:r>
      <w:proofErr w:type="spellStart"/>
      <w:r>
        <w:rPr>
          <w:bCs/>
          <w:sz w:val="22"/>
          <w:szCs w:val="22"/>
          <w:lang w:val="en-US"/>
        </w:rPr>
        <w:t>Zh</w:t>
      </w:r>
      <w:r w:rsidRPr="00B635DE">
        <w:rPr>
          <w:bCs/>
          <w:sz w:val="22"/>
          <w:szCs w:val="22"/>
          <w:lang w:val="en-US"/>
        </w:rPr>
        <w:t>oly</w:t>
      </w:r>
      <w:proofErr w:type="spellEnd"/>
      <w:r>
        <w:rPr>
          <w:bCs/>
          <w:sz w:val="22"/>
          <w:szCs w:val="22"/>
          <w:lang w:val="en-US"/>
        </w:rPr>
        <w:t>”</w:t>
      </w:r>
      <w:r w:rsidR="00746F3D">
        <w:rPr>
          <w:bCs/>
          <w:sz w:val="22"/>
          <w:szCs w:val="22"/>
          <w:lang w:val="en-US"/>
        </w:rPr>
        <w:t xml:space="preserve"> JSC</w:t>
      </w:r>
      <w:r>
        <w:rPr>
          <w:bCs/>
          <w:sz w:val="22"/>
          <w:szCs w:val="22"/>
          <w:lang w:val="en-US"/>
        </w:rPr>
        <w:t xml:space="preserve">. </w:t>
      </w:r>
    </w:p>
    <w:p w:rsidR="00746F3D" w:rsidRPr="00B635DE" w:rsidRDefault="00746F3D" w:rsidP="002664E4">
      <w:pPr>
        <w:tabs>
          <w:tab w:val="left" w:pos="426"/>
          <w:tab w:val="left" w:pos="993"/>
        </w:tabs>
        <w:autoSpaceDE w:val="0"/>
        <w:autoSpaceDN w:val="0"/>
        <w:adjustRightInd w:val="0"/>
        <w:ind w:left="-567" w:firstLine="567"/>
        <w:jc w:val="both"/>
        <w:rPr>
          <w:bCs/>
          <w:sz w:val="22"/>
          <w:szCs w:val="22"/>
          <w:lang w:val="en-US"/>
        </w:rPr>
      </w:pPr>
      <w:r w:rsidRPr="00746F3D">
        <w:rPr>
          <w:b/>
          <w:sz w:val="22"/>
          <w:szCs w:val="22"/>
          <w:lang w:val="en-US"/>
        </w:rPr>
        <w:t>J</w:t>
      </w:r>
      <w:r w:rsidRPr="00746F3D">
        <w:rPr>
          <w:b/>
          <w:bCs/>
          <w:sz w:val="22"/>
          <w:szCs w:val="22"/>
          <w:lang w:val="en-US"/>
        </w:rPr>
        <w:t>SC “NC “</w:t>
      </w:r>
      <w:proofErr w:type="spellStart"/>
      <w:r w:rsidRPr="00746F3D">
        <w:rPr>
          <w:b/>
          <w:bCs/>
          <w:sz w:val="22"/>
          <w:szCs w:val="22"/>
          <w:lang w:val="en-US"/>
        </w:rPr>
        <w:t>Kazakstan</w:t>
      </w:r>
      <w:proofErr w:type="spellEnd"/>
      <w:r w:rsidRPr="00746F3D">
        <w:rPr>
          <w:b/>
          <w:bCs/>
          <w:sz w:val="22"/>
          <w:szCs w:val="22"/>
          <w:lang w:val="en-US"/>
        </w:rPr>
        <w:t xml:space="preserve"> </w:t>
      </w:r>
      <w:proofErr w:type="spellStart"/>
      <w:r w:rsidRPr="00746F3D">
        <w:rPr>
          <w:b/>
          <w:bCs/>
          <w:sz w:val="22"/>
          <w:szCs w:val="22"/>
          <w:lang w:val="en-US"/>
        </w:rPr>
        <w:t>Temir</w:t>
      </w:r>
      <w:proofErr w:type="spellEnd"/>
      <w:r w:rsidRPr="00746F3D">
        <w:rPr>
          <w:b/>
          <w:bCs/>
          <w:sz w:val="22"/>
          <w:szCs w:val="22"/>
          <w:lang w:val="en-US"/>
        </w:rPr>
        <w:t xml:space="preserve"> </w:t>
      </w:r>
      <w:proofErr w:type="spellStart"/>
      <w:r w:rsidRPr="00746F3D">
        <w:rPr>
          <w:b/>
          <w:bCs/>
          <w:sz w:val="22"/>
          <w:szCs w:val="22"/>
          <w:lang w:val="en-US"/>
        </w:rPr>
        <w:t>Zholy</w:t>
      </w:r>
      <w:proofErr w:type="spellEnd"/>
      <w:r w:rsidRPr="00746F3D">
        <w:rPr>
          <w:b/>
          <w:bCs/>
          <w:sz w:val="22"/>
          <w:szCs w:val="22"/>
          <w:lang w:val="en-US"/>
        </w:rPr>
        <w:t>”</w:t>
      </w:r>
      <w:r>
        <w:rPr>
          <w:bCs/>
          <w:sz w:val="22"/>
          <w:szCs w:val="22"/>
          <w:lang w:val="en-US"/>
        </w:rPr>
        <w:t xml:space="preserve"> (hereinafter – </w:t>
      </w:r>
      <w:proofErr w:type="spellStart"/>
      <w:r w:rsidRPr="00B635DE">
        <w:rPr>
          <w:bCs/>
          <w:sz w:val="22"/>
          <w:szCs w:val="22"/>
          <w:lang w:val="en-US"/>
        </w:rPr>
        <w:t>KTZ</w:t>
      </w:r>
      <w:r>
        <w:rPr>
          <w:bCs/>
          <w:sz w:val="22"/>
          <w:szCs w:val="22"/>
          <w:lang w:val="en-US"/>
        </w:rPr>
        <w:t>h</w:t>
      </w:r>
      <w:proofErr w:type="spellEnd"/>
      <w:r>
        <w:rPr>
          <w:bCs/>
          <w:sz w:val="22"/>
          <w:szCs w:val="22"/>
          <w:lang w:val="en-US"/>
        </w:rPr>
        <w:t xml:space="preserve">) structure includes </w:t>
      </w:r>
      <w:r w:rsidR="0053473C" w:rsidRPr="0053473C">
        <w:rPr>
          <w:bCs/>
          <w:sz w:val="22"/>
          <w:szCs w:val="22"/>
          <w:lang w:val="en-US"/>
        </w:rPr>
        <w:t>8</w:t>
      </w:r>
      <w:r w:rsidR="00BA1ECB">
        <w:rPr>
          <w:bCs/>
          <w:sz w:val="22"/>
          <w:szCs w:val="22"/>
          <w:lang w:val="en-US"/>
        </w:rPr>
        <w:t>3</w:t>
      </w:r>
      <w:r>
        <w:rPr>
          <w:bCs/>
          <w:sz w:val="22"/>
          <w:szCs w:val="22"/>
          <w:lang w:val="en-US"/>
        </w:rPr>
        <w:t xml:space="preserve"> companies on 5 levels.</w:t>
      </w:r>
    </w:p>
    <w:p w:rsidR="002664E4" w:rsidRPr="00B635DE" w:rsidRDefault="002664E4" w:rsidP="002664E4">
      <w:pPr>
        <w:tabs>
          <w:tab w:val="left" w:pos="426"/>
          <w:tab w:val="left" w:pos="993"/>
        </w:tabs>
        <w:autoSpaceDE w:val="0"/>
        <w:autoSpaceDN w:val="0"/>
        <w:adjustRightInd w:val="0"/>
        <w:ind w:left="-567" w:firstLine="567"/>
        <w:jc w:val="both"/>
        <w:rPr>
          <w:bCs/>
          <w:sz w:val="22"/>
          <w:szCs w:val="22"/>
          <w:lang w:val="en-US"/>
        </w:rPr>
      </w:pPr>
      <w:r w:rsidRPr="00B635DE">
        <w:rPr>
          <w:bCs/>
          <w:sz w:val="22"/>
          <w:szCs w:val="22"/>
          <w:lang w:val="en-US"/>
        </w:rPr>
        <w:t xml:space="preserve">The main purpose of </w:t>
      </w:r>
      <w:proofErr w:type="spellStart"/>
      <w:r w:rsidR="00746F3D" w:rsidRPr="00B635DE">
        <w:rPr>
          <w:bCs/>
          <w:sz w:val="22"/>
          <w:szCs w:val="22"/>
          <w:lang w:val="en-US"/>
        </w:rPr>
        <w:t>KTZ</w:t>
      </w:r>
      <w:r w:rsidR="00746F3D">
        <w:rPr>
          <w:bCs/>
          <w:sz w:val="22"/>
          <w:szCs w:val="22"/>
          <w:lang w:val="en-US"/>
        </w:rPr>
        <w:t>h</w:t>
      </w:r>
      <w:proofErr w:type="spellEnd"/>
      <w:r w:rsidR="00746F3D" w:rsidRPr="00B635DE">
        <w:rPr>
          <w:bCs/>
          <w:sz w:val="22"/>
          <w:szCs w:val="22"/>
          <w:lang w:val="en-US"/>
        </w:rPr>
        <w:t xml:space="preserve"> </w:t>
      </w:r>
      <w:r w:rsidR="00746F3D">
        <w:rPr>
          <w:bCs/>
          <w:sz w:val="22"/>
          <w:szCs w:val="22"/>
          <w:lang w:val="en-US"/>
        </w:rPr>
        <w:t xml:space="preserve">operations </w:t>
      </w:r>
      <w:r w:rsidRPr="00B635DE">
        <w:rPr>
          <w:bCs/>
          <w:sz w:val="22"/>
          <w:szCs w:val="22"/>
          <w:lang w:val="en-US"/>
        </w:rPr>
        <w:t xml:space="preserve">is uninterrupted and quality </w:t>
      </w:r>
      <w:r>
        <w:rPr>
          <w:bCs/>
          <w:sz w:val="22"/>
          <w:szCs w:val="22"/>
          <w:lang w:val="en-US"/>
        </w:rPr>
        <w:t>provision of</w:t>
      </w:r>
      <w:r w:rsidRPr="00B635DE">
        <w:rPr>
          <w:bCs/>
          <w:sz w:val="22"/>
          <w:szCs w:val="22"/>
          <w:lang w:val="en-US"/>
        </w:rPr>
        <w:t xml:space="preserve"> the needs of the economy and population in the transportation of baggage, cargo-luggage, cargo, mail by rail.</w:t>
      </w:r>
    </w:p>
    <w:p w:rsidR="002664E4" w:rsidRDefault="002664E4" w:rsidP="002664E4">
      <w:pPr>
        <w:tabs>
          <w:tab w:val="left" w:pos="426"/>
          <w:tab w:val="left" w:pos="993"/>
        </w:tabs>
        <w:autoSpaceDE w:val="0"/>
        <w:autoSpaceDN w:val="0"/>
        <w:adjustRightInd w:val="0"/>
        <w:ind w:left="-567" w:firstLine="567"/>
        <w:jc w:val="both"/>
        <w:rPr>
          <w:bCs/>
          <w:sz w:val="22"/>
          <w:szCs w:val="22"/>
          <w:lang w:val="en-US"/>
        </w:rPr>
      </w:pPr>
      <w:r w:rsidRPr="00B635DE">
        <w:rPr>
          <w:bCs/>
          <w:sz w:val="22"/>
          <w:szCs w:val="22"/>
          <w:lang w:val="en-US"/>
        </w:rPr>
        <w:t xml:space="preserve">The share of </w:t>
      </w:r>
      <w:proofErr w:type="spellStart"/>
      <w:r w:rsidR="00746F3D" w:rsidRPr="00B635DE">
        <w:rPr>
          <w:bCs/>
          <w:sz w:val="22"/>
          <w:szCs w:val="22"/>
          <w:lang w:val="en-US"/>
        </w:rPr>
        <w:t>KTZ</w:t>
      </w:r>
      <w:r w:rsidR="00746F3D">
        <w:rPr>
          <w:bCs/>
          <w:sz w:val="22"/>
          <w:szCs w:val="22"/>
          <w:lang w:val="en-US"/>
        </w:rPr>
        <w:t>h</w:t>
      </w:r>
      <w:proofErr w:type="spellEnd"/>
      <w:r w:rsidR="00746F3D" w:rsidRPr="00B635DE">
        <w:rPr>
          <w:bCs/>
          <w:sz w:val="22"/>
          <w:szCs w:val="22"/>
          <w:lang w:val="en-US"/>
        </w:rPr>
        <w:t xml:space="preserve"> </w:t>
      </w:r>
      <w:r w:rsidRPr="00B635DE">
        <w:rPr>
          <w:bCs/>
          <w:sz w:val="22"/>
          <w:szCs w:val="22"/>
          <w:lang w:val="en-US"/>
        </w:rPr>
        <w:t xml:space="preserve">transport in total cargo </w:t>
      </w:r>
      <w:r>
        <w:rPr>
          <w:bCs/>
          <w:sz w:val="22"/>
          <w:szCs w:val="22"/>
          <w:lang w:val="en-US"/>
        </w:rPr>
        <w:t xml:space="preserve">traffic </w:t>
      </w:r>
      <w:r w:rsidRPr="00B635DE">
        <w:rPr>
          <w:bCs/>
          <w:sz w:val="22"/>
          <w:szCs w:val="22"/>
          <w:lang w:val="en-US"/>
        </w:rPr>
        <w:t xml:space="preserve">of the country in </w:t>
      </w:r>
      <w:r w:rsidR="009F1974" w:rsidRPr="00AA50DC">
        <w:rPr>
          <w:sz w:val="22"/>
          <w:szCs w:val="22"/>
          <w:lang w:val="en-US"/>
        </w:rPr>
        <w:t xml:space="preserve">the reporting period </w:t>
      </w:r>
      <w:r w:rsidRPr="00B635DE">
        <w:rPr>
          <w:bCs/>
          <w:sz w:val="22"/>
          <w:szCs w:val="22"/>
          <w:lang w:val="en-US"/>
        </w:rPr>
        <w:t>was about 5</w:t>
      </w:r>
      <w:r w:rsidR="009F1974">
        <w:rPr>
          <w:bCs/>
          <w:sz w:val="22"/>
          <w:szCs w:val="22"/>
          <w:lang w:val="en-US"/>
        </w:rPr>
        <w:t>1</w:t>
      </w:r>
      <w:r w:rsidRPr="00B635DE">
        <w:rPr>
          <w:bCs/>
          <w:sz w:val="22"/>
          <w:szCs w:val="22"/>
          <w:lang w:val="en-US"/>
        </w:rPr>
        <w:t>%</w:t>
      </w:r>
      <w:r w:rsidR="009F1974">
        <w:rPr>
          <w:bCs/>
          <w:sz w:val="22"/>
          <w:szCs w:val="22"/>
          <w:lang w:val="en-US"/>
        </w:rPr>
        <w:t xml:space="preserve"> (</w:t>
      </w:r>
      <w:r w:rsidR="009F1974" w:rsidRPr="009F1974">
        <w:rPr>
          <w:sz w:val="22"/>
          <w:szCs w:val="22"/>
          <w:lang w:val="en-US"/>
        </w:rPr>
        <w:t xml:space="preserve">2010-2011 – 55%) </w:t>
      </w:r>
      <w:r w:rsidR="00746F3D">
        <w:rPr>
          <w:bCs/>
          <w:sz w:val="22"/>
          <w:szCs w:val="22"/>
          <w:lang w:val="en-US"/>
        </w:rPr>
        <w:t>according to the data of the Agency on Statistics of RK</w:t>
      </w:r>
      <w:r w:rsidRPr="00B635DE">
        <w:rPr>
          <w:bCs/>
          <w:sz w:val="22"/>
          <w:szCs w:val="22"/>
          <w:lang w:val="en-US"/>
        </w:rPr>
        <w:t>.</w:t>
      </w:r>
    </w:p>
    <w:p w:rsidR="002664E4" w:rsidRPr="00B635DE" w:rsidRDefault="00746F3D" w:rsidP="002664E4">
      <w:pPr>
        <w:tabs>
          <w:tab w:val="left" w:pos="426"/>
          <w:tab w:val="left" w:pos="993"/>
        </w:tabs>
        <w:autoSpaceDE w:val="0"/>
        <w:autoSpaceDN w:val="0"/>
        <w:adjustRightInd w:val="0"/>
        <w:ind w:left="-567" w:firstLine="567"/>
        <w:jc w:val="both"/>
        <w:rPr>
          <w:color w:val="000000"/>
          <w:sz w:val="22"/>
          <w:szCs w:val="22"/>
          <w:lang w:val="en-US"/>
        </w:rPr>
      </w:pPr>
      <w:r>
        <w:rPr>
          <w:color w:val="000000"/>
          <w:sz w:val="22"/>
          <w:szCs w:val="22"/>
          <w:lang w:val="en-US"/>
        </w:rPr>
        <w:t>T</w:t>
      </w:r>
      <w:r w:rsidR="002664E4">
        <w:rPr>
          <w:color w:val="000000"/>
          <w:sz w:val="22"/>
          <w:szCs w:val="22"/>
          <w:lang w:val="en-US"/>
        </w:rPr>
        <w:t xml:space="preserve">he </w:t>
      </w:r>
      <w:r w:rsidR="002664E4" w:rsidRPr="00A46EBC">
        <w:rPr>
          <w:b/>
          <w:color w:val="000000"/>
          <w:sz w:val="22"/>
          <w:szCs w:val="22"/>
          <w:lang w:val="en-US"/>
        </w:rPr>
        <w:t>following significant events</w:t>
      </w:r>
      <w:r w:rsidR="002664E4" w:rsidRPr="00B635DE">
        <w:rPr>
          <w:color w:val="000000"/>
          <w:sz w:val="22"/>
          <w:szCs w:val="22"/>
          <w:lang w:val="en-US"/>
        </w:rPr>
        <w:t xml:space="preserve"> have occurred:</w:t>
      </w:r>
    </w:p>
    <w:p w:rsidR="00531CE9" w:rsidRPr="00531CE9" w:rsidRDefault="002664E4" w:rsidP="00531CE9">
      <w:pPr>
        <w:tabs>
          <w:tab w:val="left" w:pos="426"/>
          <w:tab w:val="left" w:pos="993"/>
        </w:tabs>
        <w:autoSpaceDE w:val="0"/>
        <w:autoSpaceDN w:val="0"/>
        <w:adjustRightInd w:val="0"/>
        <w:ind w:left="-567" w:firstLine="567"/>
        <w:jc w:val="both"/>
        <w:rPr>
          <w:color w:val="000000"/>
          <w:sz w:val="22"/>
          <w:szCs w:val="22"/>
          <w:lang w:val="en-US"/>
        </w:rPr>
      </w:pPr>
      <w:r w:rsidRPr="00B635DE">
        <w:rPr>
          <w:color w:val="000000"/>
          <w:sz w:val="22"/>
          <w:szCs w:val="22"/>
          <w:lang w:val="en-US"/>
        </w:rPr>
        <w:t xml:space="preserve">1) </w:t>
      </w:r>
      <w:r w:rsidR="000F7DD7">
        <w:rPr>
          <w:color w:val="000000"/>
          <w:sz w:val="22"/>
          <w:szCs w:val="22"/>
          <w:lang w:val="en-US"/>
        </w:rPr>
        <w:t>Since</w:t>
      </w:r>
      <w:r w:rsidR="00531CE9" w:rsidRPr="00531CE9">
        <w:rPr>
          <w:color w:val="000000"/>
          <w:sz w:val="22"/>
          <w:szCs w:val="22"/>
          <w:lang w:val="en-US"/>
        </w:rPr>
        <w:t xml:space="preserve"> April 1, 2012 tariffs for the t</w:t>
      </w:r>
      <w:r w:rsidR="00531CE9">
        <w:rPr>
          <w:color w:val="000000"/>
          <w:sz w:val="22"/>
          <w:szCs w:val="22"/>
          <w:lang w:val="en-US"/>
        </w:rPr>
        <w:t>ransportation of goods by rail in</w:t>
      </w:r>
      <w:r w:rsidR="00531CE9" w:rsidRPr="00531CE9">
        <w:rPr>
          <w:color w:val="000000"/>
          <w:sz w:val="22"/>
          <w:szCs w:val="22"/>
          <w:lang w:val="en-US"/>
        </w:rPr>
        <w:t xml:space="preserve"> Kazakhstan </w:t>
      </w:r>
      <w:r w:rsidR="00531CE9">
        <w:rPr>
          <w:color w:val="000000"/>
          <w:sz w:val="22"/>
          <w:szCs w:val="22"/>
          <w:lang w:val="en-US"/>
        </w:rPr>
        <w:t xml:space="preserve">have been increased </w:t>
      </w:r>
      <w:r w:rsidR="00531CE9" w:rsidRPr="00531CE9">
        <w:rPr>
          <w:color w:val="000000"/>
          <w:sz w:val="22"/>
          <w:szCs w:val="22"/>
          <w:lang w:val="en-US"/>
        </w:rPr>
        <w:t xml:space="preserve">by 15%, including </w:t>
      </w:r>
      <w:r w:rsidR="00531CE9">
        <w:rPr>
          <w:color w:val="000000"/>
          <w:sz w:val="22"/>
          <w:szCs w:val="22"/>
          <w:lang w:val="en-US"/>
        </w:rPr>
        <w:t xml:space="preserve">for </w:t>
      </w:r>
      <w:r w:rsidR="00531CE9" w:rsidRPr="00531CE9">
        <w:rPr>
          <w:color w:val="000000"/>
          <w:sz w:val="22"/>
          <w:szCs w:val="22"/>
          <w:lang w:val="en-US"/>
        </w:rPr>
        <w:t>the services of the main rail network by 9.6%;</w:t>
      </w:r>
    </w:p>
    <w:p w:rsidR="00531CE9" w:rsidRPr="00531CE9" w:rsidRDefault="00531CE9" w:rsidP="00531CE9">
      <w:pPr>
        <w:tabs>
          <w:tab w:val="left" w:pos="426"/>
          <w:tab w:val="left" w:pos="993"/>
        </w:tabs>
        <w:autoSpaceDE w:val="0"/>
        <w:autoSpaceDN w:val="0"/>
        <w:adjustRightInd w:val="0"/>
        <w:ind w:left="-567" w:firstLine="567"/>
        <w:jc w:val="both"/>
        <w:rPr>
          <w:color w:val="000000"/>
          <w:sz w:val="22"/>
          <w:szCs w:val="22"/>
          <w:lang w:val="en-US"/>
        </w:rPr>
      </w:pPr>
      <w:r w:rsidRPr="00531CE9">
        <w:rPr>
          <w:color w:val="000000"/>
          <w:sz w:val="22"/>
          <w:szCs w:val="22"/>
          <w:lang w:val="en-US"/>
        </w:rPr>
        <w:t xml:space="preserve">2) </w:t>
      </w:r>
      <w:r>
        <w:rPr>
          <w:color w:val="000000"/>
          <w:sz w:val="22"/>
          <w:szCs w:val="22"/>
          <w:lang w:val="en-US"/>
        </w:rPr>
        <w:t xml:space="preserve">On </w:t>
      </w:r>
      <w:r w:rsidR="00927830">
        <w:rPr>
          <w:color w:val="000000"/>
          <w:sz w:val="22"/>
          <w:szCs w:val="22"/>
          <w:lang w:val="en-US"/>
        </w:rPr>
        <w:t>10</w:t>
      </w:r>
      <w:r w:rsidRPr="00531CE9">
        <w:rPr>
          <w:color w:val="000000"/>
          <w:sz w:val="22"/>
          <w:szCs w:val="22"/>
          <w:lang w:val="en-US"/>
        </w:rPr>
        <w:t xml:space="preserve"> July 2012, the Company has placed a new E</w:t>
      </w:r>
      <w:r>
        <w:rPr>
          <w:color w:val="000000"/>
          <w:sz w:val="22"/>
          <w:szCs w:val="22"/>
          <w:lang w:val="en-US"/>
        </w:rPr>
        <w:t>uro</w:t>
      </w:r>
      <w:r w:rsidRPr="00531CE9">
        <w:rPr>
          <w:color w:val="000000"/>
          <w:sz w:val="22"/>
          <w:szCs w:val="22"/>
          <w:lang w:val="en-US"/>
        </w:rPr>
        <w:t xml:space="preserve"> issue in London and Kazakhstan sto</w:t>
      </w:r>
      <w:r>
        <w:rPr>
          <w:color w:val="000000"/>
          <w:sz w:val="22"/>
          <w:szCs w:val="22"/>
          <w:lang w:val="en-US"/>
        </w:rPr>
        <w:t xml:space="preserve">ck exchanges in the amount of USD </w:t>
      </w:r>
      <w:r w:rsidRPr="00531CE9">
        <w:rPr>
          <w:color w:val="000000"/>
          <w:sz w:val="22"/>
          <w:szCs w:val="22"/>
          <w:lang w:val="en-US"/>
        </w:rPr>
        <w:t xml:space="preserve">800 million with a maturity of 30 years in the format </w:t>
      </w:r>
      <w:r>
        <w:rPr>
          <w:color w:val="000000"/>
          <w:sz w:val="22"/>
          <w:szCs w:val="22"/>
          <w:lang w:val="en-US"/>
        </w:rPr>
        <w:t xml:space="preserve">of </w:t>
      </w:r>
      <w:proofErr w:type="spellStart"/>
      <w:r w:rsidRPr="00531CE9">
        <w:rPr>
          <w:color w:val="000000"/>
          <w:sz w:val="22"/>
          <w:szCs w:val="22"/>
          <w:lang w:val="en-US"/>
        </w:rPr>
        <w:t>Reg</w:t>
      </w:r>
      <w:proofErr w:type="spellEnd"/>
      <w:r w:rsidRPr="00531CE9">
        <w:rPr>
          <w:color w:val="000000"/>
          <w:sz w:val="22"/>
          <w:szCs w:val="22"/>
          <w:lang w:val="en-US"/>
        </w:rPr>
        <w:t xml:space="preserve"> S/144A. This </w:t>
      </w:r>
      <w:r>
        <w:rPr>
          <w:color w:val="000000"/>
          <w:sz w:val="22"/>
          <w:szCs w:val="22"/>
          <w:lang w:val="en-US"/>
        </w:rPr>
        <w:t>issue</w:t>
      </w:r>
      <w:r w:rsidRPr="00531CE9">
        <w:rPr>
          <w:color w:val="000000"/>
          <w:sz w:val="22"/>
          <w:szCs w:val="22"/>
          <w:lang w:val="en-US"/>
        </w:rPr>
        <w:t xml:space="preserve"> </w:t>
      </w:r>
      <w:r>
        <w:rPr>
          <w:color w:val="000000"/>
          <w:sz w:val="22"/>
          <w:szCs w:val="22"/>
          <w:lang w:val="en-US"/>
        </w:rPr>
        <w:t>fixed</w:t>
      </w:r>
      <w:r w:rsidRPr="00531CE9">
        <w:rPr>
          <w:color w:val="000000"/>
          <w:sz w:val="22"/>
          <w:szCs w:val="22"/>
          <w:lang w:val="en-US"/>
        </w:rPr>
        <w:t xml:space="preserve"> a record duration of repayment </w:t>
      </w:r>
      <w:r>
        <w:rPr>
          <w:color w:val="000000"/>
          <w:sz w:val="22"/>
          <w:szCs w:val="22"/>
          <w:lang w:val="en-US"/>
        </w:rPr>
        <w:t>among</w:t>
      </w:r>
      <w:r w:rsidRPr="00531CE9">
        <w:rPr>
          <w:color w:val="000000"/>
          <w:sz w:val="22"/>
          <w:szCs w:val="22"/>
          <w:lang w:val="en-US"/>
        </w:rPr>
        <w:t xml:space="preserve"> corporate issuers in the post-Soviet space, and is the largest deal in terms of </w:t>
      </w:r>
      <w:r>
        <w:rPr>
          <w:color w:val="000000"/>
          <w:sz w:val="22"/>
          <w:szCs w:val="22"/>
          <w:lang w:val="en-US"/>
        </w:rPr>
        <w:t>issue</w:t>
      </w:r>
      <w:r w:rsidRPr="00531CE9">
        <w:rPr>
          <w:color w:val="000000"/>
          <w:sz w:val="22"/>
          <w:szCs w:val="22"/>
          <w:lang w:val="en-US"/>
        </w:rPr>
        <w:t xml:space="preserve"> with a maturity of 30 years from the region of Kazakhstan and the countries of Central and Eastern Europe, Middle East and Africa since 2008;</w:t>
      </w:r>
    </w:p>
    <w:p w:rsidR="002664E4" w:rsidRDefault="00531CE9" w:rsidP="00531CE9">
      <w:pPr>
        <w:tabs>
          <w:tab w:val="left" w:pos="426"/>
          <w:tab w:val="left" w:pos="993"/>
        </w:tabs>
        <w:autoSpaceDE w:val="0"/>
        <w:autoSpaceDN w:val="0"/>
        <w:adjustRightInd w:val="0"/>
        <w:ind w:left="-567" w:firstLine="567"/>
        <w:jc w:val="both"/>
        <w:rPr>
          <w:color w:val="000000"/>
          <w:sz w:val="22"/>
          <w:szCs w:val="22"/>
          <w:lang w:val="en-US"/>
        </w:rPr>
      </w:pPr>
      <w:r w:rsidRPr="00531CE9">
        <w:rPr>
          <w:color w:val="000000"/>
          <w:sz w:val="22"/>
          <w:szCs w:val="22"/>
          <w:lang w:val="en-US"/>
        </w:rPr>
        <w:t xml:space="preserve">3) the construction of new railway lines </w:t>
      </w:r>
      <w:proofErr w:type="spellStart"/>
      <w:r w:rsidRPr="00531CE9">
        <w:rPr>
          <w:color w:val="000000"/>
          <w:sz w:val="22"/>
          <w:szCs w:val="22"/>
          <w:lang w:val="en-US"/>
        </w:rPr>
        <w:t>Zhezkazgan</w:t>
      </w:r>
      <w:proofErr w:type="spellEnd"/>
      <w:r w:rsidRPr="00531CE9">
        <w:rPr>
          <w:color w:val="000000"/>
          <w:sz w:val="22"/>
          <w:szCs w:val="22"/>
          <w:lang w:val="en-US"/>
        </w:rPr>
        <w:t xml:space="preserve"> - </w:t>
      </w:r>
      <w:proofErr w:type="spellStart"/>
      <w:r w:rsidRPr="00531CE9">
        <w:rPr>
          <w:color w:val="000000"/>
          <w:sz w:val="22"/>
          <w:szCs w:val="22"/>
          <w:lang w:val="en-US"/>
        </w:rPr>
        <w:t>Beyneu</w:t>
      </w:r>
      <w:proofErr w:type="spellEnd"/>
      <w:r w:rsidRPr="00531CE9">
        <w:rPr>
          <w:color w:val="000000"/>
          <w:sz w:val="22"/>
          <w:szCs w:val="22"/>
          <w:lang w:val="en-US"/>
        </w:rPr>
        <w:t xml:space="preserve"> and </w:t>
      </w:r>
      <w:proofErr w:type="spellStart"/>
      <w:r w:rsidRPr="00531CE9">
        <w:rPr>
          <w:color w:val="000000"/>
          <w:sz w:val="22"/>
          <w:szCs w:val="22"/>
          <w:lang w:val="en-US"/>
        </w:rPr>
        <w:t>Arkalyk</w:t>
      </w:r>
      <w:proofErr w:type="spellEnd"/>
      <w:r w:rsidRPr="00531CE9">
        <w:rPr>
          <w:color w:val="000000"/>
          <w:sz w:val="22"/>
          <w:szCs w:val="22"/>
          <w:lang w:val="en-US"/>
        </w:rPr>
        <w:t xml:space="preserve"> - </w:t>
      </w:r>
      <w:proofErr w:type="spellStart"/>
      <w:r w:rsidRPr="00531CE9">
        <w:rPr>
          <w:color w:val="000000"/>
          <w:sz w:val="22"/>
          <w:szCs w:val="22"/>
          <w:lang w:val="en-US"/>
        </w:rPr>
        <w:t>Shubarkol</w:t>
      </w:r>
      <w:proofErr w:type="spellEnd"/>
      <w:r w:rsidRPr="00531CE9">
        <w:rPr>
          <w:color w:val="000000"/>
          <w:sz w:val="22"/>
          <w:szCs w:val="22"/>
          <w:lang w:val="en-US"/>
        </w:rPr>
        <w:t xml:space="preserve"> </w:t>
      </w:r>
      <w:r>
        <w:rPr>
          <w:color w:val="000000"/>
          <w:sz w:val="22"/>
          <w:szCs w:val="22"/>
          <w:lang w:val="en-US"/>
        </w:rPr>
        <w:t xml:space="preserve">has been begun, </w:t>
      </w:r>
      <w:r w:rsidRPr="00531CE9">
        <w:rPr>
          <w:color w:val="000000"/>
          <w:sz w:val="22"/>
          <w:szCs w:val="22"/>
          <w:lang w:val="en-US"/>
        </w:rPr>
        <w:t xml:space="preserve">the </w:t>
      </w:r>
      <w:r>
        <w:rPr>
          <w:color w:val="000000"/>
          <w:sz w:val="22"/>
          <w:szCs w:val="22"/>
          <w:lang w:val="en-US"/>
        </w:rPr>
        <w:t xml:space="preserve">issue on </w:t>
      </w:r>
      <w:r w:rsidRPr="00531CE9">
        <w:rPr>
          <w:color w:val="000000"/>
          <w:sz w:val="22"/>
          <w:szCs w:val="22"/>
          <w:lang w:val="en-US"/>
        </w:rPr>
        <w:t xml:space="preserve">organization of financing of the projects from the national budget, the loan from the National Fund of the Republic of Kazakhstan and the own funds of JSC </w:t>
      </w:r>
      <w:r>
        <w:rPr>
          <w:color w:val="000000"/>
          <w:sz w:val="22"/>
          <w:szCs w:val="22"/>
          <w:lang w:val="en-US"/>
        </w:rPr>
        <w:t>“</w:t>
      </w:r>
      <w:r w:rsidRPr="00531CE9">
        <w:rPr>
          <w:color w:val="000000"/>
          <w:sz w:val="22"/>
          <w:szCs w:val="22"/>
          <w:lang w:val="en-US"/>
        </w:rPr>
        <w:t xml:space="preserve">NC </w:t>
      </w:r>
      <w:r>
        <w:rPr>
          <w:color w:val="000000"/>
          <w:sz w:val="22"/>
          <w:szCs w:val="22"/>
          <w:lang w:val="en-US"/>
        </w:rPr>
        <w:t>“</w:t>
      </w:r>
      <w:r w:rsidRPr="00531CE9">
        <w:rPr>
          <w:color w:val="000000"/>
          <w:sz w:val="22"/>
          <w:szCs w:val="22"/>
          <w:lang w:val="en-US"/>
        </w:rPr>
        <w:t xml:space="preserve">Kazakhstan </w:t>
      </w:r>
      <w:proofErr w:type="spellStart"/>
      <w:r w:rsidRPr="00531CE9">
        <w:rPr>
          <w:color w:val="000000"/>
          <w:sz w:val="22"/>
          <w:szCs w:val="22"/>
          <w:lang w:val="en-US"/>
        </w:rPr>
        <w:t>Temir</w:t>
      </w:r>
      <w:proofErr w:type="spellEnd"/>
      <w:r w:rsidRPr="00531CE9">
        <w:rPr>
          <w:color w:val="000000"/>
          <w:sz w:val="22"/>
          <w:szCs w:val="22"/>
          <w:lang w:val="en-US"/>
        </w:rPr>
        <w:t xml:space="preserve"> </w:t>
      </w:r>
      <w:proofErr w:type="spellStart"/>
      <w:r>
        <w:rPr>
          <w:color w:val="000000"/>
          <w:sz w:val="22"/>
          <w:szCs w:val="22"/>
          <w:lang w:val="en-US"/>
        </w:rPr>
        <w:t>Zh</w:t>
      </w:r>
      <w:r w:rsidRPr="00531CE9">
        <w:rPr>
          <w:color w:val="000000"/>
          <w:sz w:val="22"/>
          <w:szCs w:val="22"/>
          <w:lang w:val="en-US"/>
        </w:rPr>
        <w:t>oly</w:t>
      </w:r>
      <w:proofErr w:type="spellEnd"/>
      <w:r>
        <w:rPr>
          <w:color w:val="000000"/>
          <w:sz w:val="22"/>
          <w:szCs w:val="22"/>
          <w:lang w:val="en-US"/>
        </w:rPr>
        <w:t>”</w:t>
      </w:r>
      <w:r w:rsidRPr="00531CE9">
        <w:rPr>
          <w:color w:val="000000"/>
          <w:sz w:val="22"/>
          <w:szCs w:val="22"/>
          <w:lang w:val="en-US"/>
        </w:rPr>
        <w:t xml:space="preserve"> </w:t>
      </w:r>
      <w:r>
        <w:rPr>
          <w:color w:val="000000"/>
          <w:sz w:val="22"/>
          <w:szCs w:val="22"/>
          <w:lang w:val="en-US"/>
        </w:rPr>
        <w:t>is being decided in parallel</w:t>
      </w:r>
      <w:r w:rsidRPr="00531CE9">
        <w:rPr>
          <w:color w:val="000000"/>
          <w:sz w:val="22"/>
          <w:szCs w:val="22"/>
          <w:lang w:val="en-US"/>
        </w:rPr>
        <w:t>.</w:t>
      </w:r>
    </w:p>
    <w:p w:rsidR="002664E4" w:rsidRPr="00A46EBC" w:rsidRDefault="002664E4" w:rsidP="00271E83">
      <w:pPr>
        <w:tabs>
          <w:tab w:val="left" w:pos="426"/>
        </w:tabs>
        <w:autoSpaceDE w:val="0"/>
        <w:autoSpaceDN w:val="0"/>
        <w:adjustRightInd w:val="0"/>
        <w:ind w:left="-567"/>
        <w:jc w:val="both"/>
        <w:rPr>
          <w:sz w:val="22"/>
          <w:szCs w:val="22"/>
          <w:lang w:val="en-US"/>
        </w:rPr>
      </w:pPr>
      <w:r>
        <w:rPr>
          <w:sz w:val="22"/>
          <w:szCs w:val="22"/>
          <w:lang w:val="en-US"/>
        </w:rPr>
        <w:tab/>
      </w:r>
      <w:r w:rsidRPr="00A46EBC">
        <w:rPr>
          <w:sz w:val="22"/>
          <w:szCs w:val="22"/>
          <w:lang w:val="en-US"/>
        </w:rPr>
        <w:t xml:space="preserve">The main activities of </w:t>
      </w:r>
      <w:r w:rsidRPr="00A46EBC">
        <w:rPr>
          <w:b/>
          <w:sz w:val="22"/>
          <w:szCs w:val="22"/>
          <w:lang w:val="en-US"/>
        </w:rPr>
        <w:t>“Air Astana” JSC</w:t>
      </w:r>
      <w:r w:rsidRPr="00A46EBC">
        <w:rPr>
          <w:sz w:val="22"/>
          <w:szCs w:val="22"/>
          <w:lang w:val="en-US"/>
        </w:rPr>
        <w:t xml:space="preserve"> (hereinafter - Air Astana) is the carriage of passengers and cargo aircraft </w:t>
      </w:r>
      <w:r>
        <w:rPr>
          <w:sz w:val="22"/>
          <w:szCs w:val="22"/>
          <w:lang w:val="en-US"/>
        </w:rPr>
        <w:t>by</w:t>
      </w:r>
      <w:r w:rsidRPr="00A46EBC">
        <w:rPr>
          <w:sz w:val="22"/>
          <w:szCs w:val="22"/>
          <w:lang w:val="en-US"/>
        </w:rPr>
        <w:t xml:space="preserve"> civil aviation.</w:t>
      </w:r>
      <w:r w:rsidR="00271E83">
        <w:rPr>
          <w:sz w:val="22"/>
          <w:szCs w:val="22"/>
          <w:lang w:val="en-US"/>
        </w:rPr>
        <w:t xml:space="preserve"> </w:t>
      </w:r>
      <w:r w:rsidRPr="00A46EBC">
        <w:rPr>
          <w:sz w:val="22"/>
          <w:szCs w:val="22"/>
          <w:lang w:val="en-US"/>
        </w:rPr>
        <w:t xml:space="preserve">The shareholders of </w:t>
      </w:r>
      <w:r w:rsidR="0037260A" w:rsidRPr="00A46EBC">
        <w:rPr>
          <w:sz w:val="22"/>
          <w:szCs w:val="22"/>
          <w:lang w:val="en-US"/>
        </w:rPr>
        <w:t xml:space="preserve">Air Astana </w:t>
      </w:r>
      <w:r w:rsidRPr="00A46EBC">
        <w:rPr>
          <w:sz w:val="22"/>
          <w:szCs w:val="22"/>
          <w:lang w:val="en-US"/>
        </w:rPr>
        <w:t xml:space="preserve">are </w:t>
      </w:r>
      <w:r w:rsidR="0037260A" w:rsidRPr="00A46EBC">
        <w:rPr>
          <w:sz w:val="22"/>
          <w:szCs w:val="22"/>
          <w:lang w:val="en-US"/>
        </w:rPr>
        <w:t xml:space="preserve">the Fund </w:t>
      </w:r>
      <w:r w:rsidRPr="00A46EBC">
        <w:rPr>
          <w:sz w:val="22"/>
          <w:szCs w:val="22"/>
          <w:lang w:val="en-US"/>
        </w:rPr>
        <w:t xml:space="preserve">(51%) and </w:t>
      </w:r>
      <w:r>
        <w:rPr>
          <w:sz w:val="22"/>
          <w:szCs w:val="22"/>
          <w:lang w:val="en-US"/>
        </w:rPr>
        <w:t>“BAE Systems Kazakhstan Ltd”</w:t>
      </w:r>
      <w:r w:rsidRPr="00A46EBC">
        <w:rPr>
          <w:sz w:val="22"/>
          <w:szCs w:val="22"/>
          <w:lang w:val="en-US"/>
        </w:rPr>
        <w:t xml:space="preserve"> (49%).</w:t>
      </w:r>
    </w:p>
    <w:p w:rsidR="002664E4" w:rsidRPr="00A46EBC" w:rsidRDefault="002664E4" w:rsidP="002664E4">
      <w:pPr>
        <w:tabs>
          <w:tab w:val="left" w:pos="426"/>
        </w:tabs>
        <w:autoSpaceDE w:val="0"/>
        <w:autoSpaceDN w:val="0"/>
        <w:adjustRightInd w:val="0"/>
        <w:ind w:left="-567" w:firstLine="567"/>
        <w:jc w:val="both"/>
        <w:rPr>
          <w:sz w:val="22"/>
          <w:szCs w:val="22"/>
          <w:lang w:val="en-US"/>
        </w:rPr>
      </w:pPr>
      <w:r>
        <w:rPr>
          <w:sz w:val="22"/>
          <w:szCs w:val="22"/>
          <w:lang w:val="en-US"/>
        </w:rPr>
        <w:t>The s</w:t>
      </w:r>
      <w:r w:rsidRPr="00A46EBC">
        <w:rPr>
          <w:sz w:val="22"/>
          <w:szCs w:val="22"/>
          <w:lang w:val="en-US"/>
        </w:rPr>
        <w:t xml:space="preserve">hare of Air Astana in the airline </w:t>
      </w:r>
      <w:r>
        <w:rPr>
          <w:sz w:val="22"/>
          <w:szCs w:val="22"/>
          <w:lang w:val="en-US"/>
        </w:rPr>
        <w:t>market</w:t>
      </w:r>
      <w:r w:rsidRPr="00A46EBC">
        <w:rPr>
          <w:sz w:val="22"/>
          <w:szCs w:val="22"/>
          <w:lang w:val="en-US"/>
        </w:rPr>
        <w:t xml:space="preserve"> </w:t>
      </w:r>
      <w:r>
        <w:rPr>
          <w:sz w:val="22"/>
          <w:szCs w:val="22"/>
          <w:lang w:val="en-US"/>
        </w:rPr>
        <w:t>on</w:t>
      </w:r>
      <w:r w:rsidRPr="00A46EBC">
        <w:rPr>
          <w:sz w:val="22"/>
          <w:szCs w:val="22"/>
          <w:lang w:val="en-US"/>
        </w:rPr>
        <w:t xml:space="preserve"> internat</w:t>
      </w:r>
      <w:r>
        <w:rPr>
          <w:sz w:val="22"/>
          <w:szCs w:val="22"/>
          <w:lang w:val="en-US"/>
        </w:rPr>
        <w:t xml:space="preserve">ional destinations in </w:t>
      </w:r>
      <w:r w:rsidR="005450BC">
        <w:rPr>
          <w:sz w:val="22"/>
          <w:szCs w:val="22"/>
          <w:lang w:val="en-US"/>
        </w:rPr>
        <w:t>the reporting period</w:t>
      </w:r>
      <w:r w:rsidRPr="00A46EBC">
        <w:rPr>
          <w:sz w:val="22"/>
          <w:szCs w:val="22"/>
          <w:lang w:val="en-US"/>
        </w:rPr>
        <w:t xml:space="preserve"> was about 36%</w:t>
      </w:r>
      <w:r w:rsidR="00E513A1">
        <w:rPr>
          <w:sz w:val="22"/>
          <w:szCs w:val="22"/>
          <w:lang w:val="en-US"/>
        </w:rPr>
        <w:t xml:space="preserve"> (</w:t>
      </w:r>
      <w:r w:rsidR="00E513A1" w:rsidRPr="00E513A1">
        <w:rPr>
          <w:sz w:val="22"/>
          <w:szCs w:val="22"/>
          <w:lang w:val="en-US"/>
        </w:rPr>
        <w:t>2010-2011 – 36%),</w:t>
      </w:r>
      <w:r>
        <w:rPr>
          <w:sz w:val="22"/>
          <w:szCs w:val="22"/>
          <w:lang w:val="en-US"/>
        </w:rPr>
        <w:t xml:space="preserve"> on</w:t>
      </w:r>
      <w:r w:rsidRPr="00A46EBC">
        <w:rPr>
          <w:sz w:val="22"/>
          <w:szCs w:val="22"/>
          <w:lang w:val="en-US"/>
        </w:rPr>
        <w:t xml:space="preserve"> domestic routes - 7</w:t>
      </w:r>
      <w:r w:rsidR="005450BC">
        <w:rPr>
          <w:sz w:val="22"/>
          <w:szCs w:val="22"/>
          <w:lang w:val="en-US"/>
        </w:rPr>
        <w:t>1</w:t>
      </w:r>
      <w:r w:rsidRPr="00A46EBC">
        <w:rPr>
          <w:sz w:val="22"/>
          <w:szCs w:val="22"/>
          <w:lang w:val="en-US"/>
        </w:rPr>
        <w:t>%</w:t>
      </w:r>
      <w:r w:rsidR="00E513A1">
        <w:rPr>
          <w:sz w:val="22"/>
          <w:szCs w:val="22"/>
          <w:lang w:val="en-US"/>
        </w:rPr>
        <w:t xml:space="preserve"> (</w:t>
      </w:r>
      <w:r w:rsidR="00E513A1" w:rsidRPr="00E513A1">
        <w:rPr>
          <w:sz w:val="22"/>
          <w:szCs w:val="22"/>
          <w:lang w:val="en-US"/>
        </w:rPr>
        <w:t>2010-2011 – 77%</w:t>
      </w:r>
      <w:r w:rsidR="00E513A1">
        <w:rPr>
          <w:sz w:val="22"/>
          <w:szCs w:val="22"/>
          <w:lang w:val="en-US"/>
        </w:rPr>
        <w:t>)</w:t>
      </w:r>
      <w:r w:rsidRPr="00A46EBC">
        <w:rPr>
          <w:sz w:val="22"/>
          <w:szCs w:val="22"/>
          <w:lang w:val="en-US"/>
        </w:rPr>
        <w:t>.</w:t>
      </w:r>
    </w:p>
    <w:p w:rsidR="002664E4" w:rsidRPr="00A46EBC" w:rsidRDefault="002664E4" w:rsidP="002664E4">
      <w:pPr>
        <w:tabs>
          <w:tab w:val="left" w:pos="426"/>
        </w:tabs>
        <w:autoSpaceDE w:val="0"/>
        <w:autoSpaceDN w:val="0"/>
        <w:adjustRightInd w:val="0"/>
        <w:ind w:left="-567" w:firstLine="567"/>
        <w:jc w:val="both"/>
        <w:rPr>
          <w:bCs/>
          <w:sz w:val="22"/>
          <w:szCs w:val="22"/>
          <w:lang w:val="en-US"/>
        </w:rPr>
      </w:pPr>
      <w:r>
        <w:rPr>
          <w:bCs/>
          <w:sz w:val="22"/>
          <w:szCs w:val="22"/>
          <w:lang w:val="en-US"/>
        </w:rPr>
        <w:t xml:space="preserve">We note the </w:t>
      </w:r>
      <w:r w:rsidRPr="00A46EBC">
        <w:rPr>
          <w:b/>
          <w:color w:val="000000"/>
          <w:sz w:val="22"/>
          <w:szCs w:val="22"/>
          <w:lang w:val="en-US"/>
        </w:rPr>
        <w:t>following significant events</w:t>
      </w:r>
      <w:r w:rsidRPr="00A46EBC">
        <w:rPr>
          <w:bCs/>
          <w:sz w:val="22"/>
          <w:szCs w:val="22"/>
          <w:lang w:val="en-US"/>
        </w:rPr>
        <w:t>:</w:t>
      </w:r>
      <w:r>
        <w:rPr>
          <w:bCs/>
          <w:sz w:val="22"/>
          <w:szCs w:val="22"/>
          <w:lang w:val="en-US"/>
        </w:rPr>
        <w:t xml:space="preserve"> </w:t>
      </w:r>
    </w:p>
    <w:p w:rsidR="00CA6BFD" w:rsidRPr="00CA6BFD" w:rsidRDefault="002664E4" w:rsidP="00CA6BFD">
      <w:pPr>
        <w:tabs>
          <w:tab w:val="left" w:pos="426"/>
        </w:tabs>
        <w:autoSpaceDE w:val="0"/>
        <w:autoSpaceDN w:val="0"/>
        <w:adjustRightInd w:val="0"/>
        <w:ind w:left="-567" w:firstLine="567"/>
        <w:jc w:val="both"/>
        <w:rPr>
          <w:bCs/>
          <w:sz w:val="22"/>
          <w:szCs w:val="22"/>
          <w:lang w:val="en-US"/>
        </w:rPr>
      </w:pPr>
      <w:r w:rsidRPr="00A46EBC">
        <w:rPr>
          <w:bCs/>
          <w:sz w:val="22"/>
          <w:szCs w:val="22"/>
          <w:lang w:val="en-US"/>
        </w:rPr>
        <w:t xml:space="preserve">1) </w:t>
      </w:r>
      <w:r w:rsidR="00CA6BFD" w:rsidRPr="00CA6BFD">
        <w:rPr>
          <w:bCs/>
          <w:sz w:val="22"/>
          <w:szCs w:val="22"/>
          <w:lang w:val="en-US"/>
        </w:rPr>
        <w:t>Air-Astana placed an order for the purchase of 4 x B</w:t>
      </w:r>
      <w:r w:rsidR="00CA6BFD">
        <w:rPr>
          <w:bCs/>
          <w:sz w:val="22"/>
          <w:szCs w:val="22"/>
          <w:lang w:val="en-US"/>
        </w:rPr>
        <w:t>767 (delivery in 2013 - 2014) a</w:t>
      </w:r>
      <w:r w:rsidR="00CA6BFD" w:rsidRPr="00CA6BFD">
        <w:rPr>
          <w:bCs/>
          <w:sz w:val="22"/>
          <w:szCs w:val="22"/>
          <w:lang w:val="en-US"/>
        </w:rPr>
        <w:t xml:space="preserve">nd 3 x </w:t>
      </w:r>
      <w:r w:rsidR="00CA6BFD">
        <w:rPr>
          <w:bCs/>
          <w:sz w:val="22"/>
          <w:szCs w:val="22"/>
          <w:lang w:val="en-US"/>
        </w:rPr>
        <w:t>B787 (delivery in 2017 and 2019</w:t>
      </w:r>
      <w:r w:rsidR="00CA6BFD" w:rsidRPr="00CA6BFD">
        <w:rPr>
          <w:bCs/>
          <w:sz w:val="22"/>
          <w:szCs w:val="22"/>
          <w:lang w:val="en-US"/>
        </w:rPr>
        <w:t>)</w:t>
      </w:r>
      <w:r w:rsidR="00CA6BFD">
        <w:rPr>
          <w:bCs/>
          <w:sz w:val="22"/>
          <w:szCs w:val="22"/>
          <w:lang w:val="en-US"/>
        </w:rPr>
        <w:t>, the</w:t>
      </w:r>
      <w:r w:rsidR="00CA6BFD" w:rsidRPr="00CA6BFD">
        <w:rPr>
          <w:bCs/>
          <w:sz w:val="22"/>
          <w:szCs w:val="22"/>
          <w:lang w:val="en-US"/>
        </w:rPr>
        <w:t xml:space="preserve"> fourth Embraer E190 aircraft </w:t>
      </w:r>
      <w:r w:rsidR="00CA6BFD">
        <w:rPr>
          <w:bCs/>
          <w:sz w:val="22"/>
          <w:szCs w:val="22"/>
          <w:lang w:val="en-US"/>
        </w:rPr>
        <w:t>has been d</w:t>
      </w:r>
      <w:r w:rsidR="00CA6BFD" w:rsidRPr="00CA6BFD">
        <w:rPr>
          <w:bCs/>
          <w:sz w:val="22"/>
          <w:szCs w:val="22"/>
          <w:lang w:val="en-US"/>
        </w:rPr>
        <w:t xml:space="preserve">elivered and a return of three Sun Fokker F50 </w:t>
      </w:r>
      <w:r w:rsidR="00CA6BFD">
        <w:rPr>
          <w:bCs/>
          <w:sz w:val="22"/>
          <w:szCs w:val="22"/>
          <w:lang w:val="en-US"/>
        </w:rPr>
        <w:t>has been implemented</w:t>
      </w:r>
      <w:r w:rsidR="00CA6BFD" w:rsidRPr="00CA6BFD">
        <w:rPr>
          <w:bCs/>
          <w:sz w:val="22"/>
          <w:szCs w:val="22"/>
          <w:lang w:val="en-US"/>
        </w:rPr>
        <w:t>;</w:t>
      </w:r>
    </w:p>
    <w:p w:rsidR="00CA6BFD" w:rsidRPr="00CA6BFD" w:rsidRDefault="00CA6BFD" w:rsidP="00CA6BFD">
      <w:pPr>
        <w:tabs>
          <w:tab w:val="left" w:pos="426"/>
        </w:tabs>
        <w:autoSpaceDE w:val="0"/>
        <w:autoSpaceDN w:val="0"/>
        <w:adjustRightInd w:val="0"/>
        <w:ind w:left="-567" w:firstLine="567"/>
        <w:jc w:val="both"/>
        <w:rPr>
          <w:bCs/>
          <w:sz w:val="22"/>
          <w:szCs w:val="22"/>
          <w:lang w:val="en-US"/>
        </w:rPr>
      </w:pPr>
      <w:r w:rsidRPr="00CA6BFD">
        <w:rPr>
          <w:bCs/>
          <w:sz w:val="22"/>
          <w:szCs w:val="22"/>
          <w:lang w:val="en-US"/>
        </w:rPr>
        <w:lastRenderedPageBreak/>
        <w:t xml:space="preserve">2) </w:t>
      </w:r>
      <w:proofErr w:type="gramStart"/>
      <w:r>
        <w:rPr>
          <w:bCs/>
          <w:sz w:val="22"/>
          <w:szCs w:val="22"/>
          <w:lang w:val="en-US"/>
        </w:rPr>
        <w:t>since</w:t>
      </w:r>
      <w:proofErr w:type="gramEnd"/>
      <w:r w:rsidRPr="00CA6BFD">
        <w:rPr>
          <w:bCs/>
          <w:sz w:val="22"/>
          <w:szCs w:val="22"/>
          <w:lang w:val="en-US"/>
        </w:rPr>
        <w:t xml:space="preserve"> 5 April 2012 </w:t>
      </w:r>
      <w:r>
        <w:rPr>
          <w:bCs/>
          <w:sz w:val="22"/>
          <w:szCs w:val="22"/>
          <w:lang w:val="en-US"/>
        </w:rPr>
        <w:t xml:space="preserve">a </w:t>
      </w:r>
      <w:r w:rsidRPr="00CA6BFD">
        <w:rPr>
          <w:bCs/>
          <w:sz w:val="22"/>
          <w:szCs w:val="22"/>
          <w:lang w:val="en-US"/>
        </w:rPr>
        <w:t xml:space="preserve">fuel surcharge </w:t>
      </w:r>
      <w:r>
        <w:rPr>
          <w:bCs/>
          <w:sz w:val="22"/>
          <w:szCs w:val="22"/>
          <w:lang w:val="en-US"/>
        </w:rPr>
        <w:t>has been introduced to</w:t>
      </w:r>
      <w:r w:rsidRPr="00CA6BFD">
        <w:rPr>
          <w:bCs/>
          <w:sz w:val="22"/>
          <w:szCs w:val="22"/>
          <w:lang w:val="en-US"/>
        </w:rPr>
        <w:t xml:space="preserve"> offset rising prices for jet fuel, which has raised the price of tickets for domestic flights by an average of 16%.</w:t>
      </w:r>
    </w:p>
    <w:p w:rsidR="002664E4" w:rsidRDefault="00CA6BFD" w:rsidP="00CA6BFD">
      <w:pPr>
        <w:tabs>
          <w:tab w:val="left" w:pos="426"/>
        </w:tabs>
        <w:autoSpaceDE w:val="0"/>
        <w:autoSpaceDN w:val="0"/>
        <w:adjustRightInd w:val="0"/>
        <w:ind w:left="-567" w:firstLine="567"/>
        <w:jc w:val="both"/>
        <w:rPr>
          <w:bCs/>
          <w:sz w:val="22"/>
          <w:szCs w:val="22"/>
          <w:lang w:val="en-US"/>
        </w:rPr>
      </w:pPr>
      <w:r w:rsidRPr="00CA6BFD">
        <w:rPr>
          <w:bCs/>
          <w:sz w:val="22"/>
          <w:szCs w:val="22"/>
          <w:lang w:val="en-US"/>
        </w:rPr>
        <w:t>3) The company has opened six new destinations from Astana</w:t>
      </w:r>
      <w:r>
        <w:rPr>
          <w:bCs/>
          <w:sz w:val="22"/>
          <w:szCs w:val="22"/>
          <w:lang w:val="en-US"/>
        </w:rPr>
        <w:t>:</w:t>
      </w:r>
      <w:r w:rsidRPr="00CA6BFD">
        <w:rPr>
          <w:bCs/>
          <w:sz w:val="22"/>
          <w:szCs w:val="22"/>
          <w:lang w:val="en-US"/>
        </w:rPr>
        <w:t xml:space="preserve"> to </w:t>
      </w:r>
      <w:proofErr w:type="spellStart"/>
      <w:r w:rsidRPr="00CA6BFD">
        <w:rPr>
          <w:bCs/>
          <w:sz w:val="22"/>
          <w:szCs w:val="22"/>
          <w:lang w:val="en-US"/>
        </w:rPr>
        <w:t>Shymkent</w:t>
      </w:r>
      <w:proofErr w:type="spellEnd"/>
      <w:r w:rsidRPr="00CA6BFD">
        <w:rPr>
          <w:bCs/>
          <w:sz w:val="22"/>
          <w:szCs w:val="22"/>
          <w:lang w:val="en-US"/>
        </w:rPr>
        <w:t xml:space="preserve"> (4 times a week </w:t>
      </w:r>
      <w:r>
        <w:rPr>
          <w:bCs/>
          <w:sz w:val="22"/>
          <w:szCs w:val="22"/>
          <w:lang w:val="en-US"/>
        </w:rPr>
        <w:t>since</w:t>
      </w:r>
      <w:r w:rsidRPr="00CA6BFD">
        <w:rPr>
          <w:bCs/>
          <w:sz w:val="22"/>
          <w:szCs w:val="22"/>
          <w:lang w:val="en-US"/>
        </w:rPr>
        <w:t xml:space="preserve"> April 30), </w:t>
      </w:r>
      <w:proofErr w:type="spellStart"/>
      <w:r w:rsidRPr="00CA6BFD">
        <w:rPr>
          <w:bCs/>
          <w:sz w:val="22"/>
          <w:szCs w:val="22"/>
          <w:lang w:val="en-US"/>
        </w:rPr>
        <w:t>Aktau</w:t>
      </w:r>
      <w:proofErr w:type="spellEnd"/>
      <w:r w:rsidRPr="00CA6BFD">
        <w:rPr>
          <w:bCs/>
          <w:sz w:val="22"/>
          <w:szCs w:val="22"/>
          <w:lang w:val="en-US"/>
        </w:rPr>
        <w:t xml:space="preserve"> (4 times a week </w:t>
      </w:r>
      <w:r>
        <w:rPr>
          <w:bCs/>
          <w:sz w:val="22"/>
          <w:szCs w:val="22"/>
          <w:lang w:val="en-US"/>
        </w:rPr>
        <w:t>since</w:t>
      </w:r>
      <w:r w:rsidRPr="00CA6BFD">
        <w:rPr>
          <w:bCs/>
          <w:sz w:val="22"/>
          <w:szCs w:val="22"/>
          <w:lang w:val="en-US"/>
        </w:rPr>
        <w:t xml:space="preserve"> May 1), Tashkent (2 times a week </w:t>
      </w:r>
      <w:r>
        <w:rPr>
          <w:bCs/>
          <w:sz w:val="22"/>
          <w:szCs w:val="22"/>
          <w:lang w:val="en-US"/>
        </w:rPr>
        <w:t>since</w:t>
      </w:r>
      <w:r w:rsidRPr="00CA6BFD">
        <w:rPr>
          <w:bCs/>
          <w:sz w:val="22"/>
          <w:szCs w:val="22"/>
          <w:lang w:val="en-US"/>
        </w:rPr>
        <w:t xml:space="preserve"> May 12), Baku (2 times a week </w:t>
      </w:r>
      <w:r>
        <w:rPr>
          <w:bCs/>
          <w:sz w:val="22"/>
          <w:szCs w:val="22"/>
          <w:lang w:val="en-US"/>
        </w:rPr>
        <w:t>since</w:t>
      </w:r>
      <w:r w:rsidRPr="00CA6BFD">
        <w:rPr>
          <w:bCs/>
          <w:sz w:val="22"/>
          <w:szCs w:val="22"/>
          <w:lang w:val="en-US"/>
        </w:rPr>
        <w:t xml:space="preserve"> May 21), St. Petersburg (2 days a week </w:t>
      </w:r>
      <w:r>
        <w:rPr>
          <w:bCs/>
          <w:sz w:val="22"/>
          <w:szCs w:val="22"/>
          <w:lang w:val="en-US"/>
        </w:rPr>
        <w:t>since</w:t>
      </w:r>
      <w:r w:rsidRPr="00CA6BFD">
        <w:rPr>
          <w:bCs/>
          <w:sz w:val="22"/>
          <w:szCs w:val="22"/>
          <w:lang w:val="en-US"/>
        </w:rPr>
        <w:t xml:space="preserve"> June 13)</w:t>
      </w:r>
      <w:r>
        <w:rPr>
          <w:bCs/>
          <w:sz w:val="22"/>
          <w:szCs w:val="22"/>
          <w:lang w:val="en-US"/>
        </w:rPr>
        <w:t>,</w:t>
      </w:r>
      <w:r w:rsidRPr="00CA6BFD">
        <w:rPr>
          <w:bCs/>
          <w:sz w:val="22"/>
          <w:szCs w:val="22"/>
          <w:lang w:val="en-US"/>
        </w:rPr>
        <w:t xml:space="preserve"> Omsk (2 times a week </w:t>
      </w:r>
      <w:r>
        <w:rPr>
          <w:bCs/>
          <w:sz w:val="22"/>
          <w:szCs w:val="22"/>
          <w:lang w:val="en-US"/>
        </w:rPr>
        <w:t>since</w:t>
      </w:r>
      <w:r w:rsidRPr="00CA6BFD">
        <w:rPr>
          <w:bCs/>
          <w:sz w:val="22"/>
          <w:szCs w:val="22"/>
          <w:lang w:val="en-US"/>
        </w:rPr>
        <w:t xml:space="preserve"> 16 July). One new direction is open from Almaty to Kazan (3 times a week </w:t>
      </w:r>
      <w:r>
        <w:rPr>
          <w:bCs/>
          <w:sz w:val="22"/>
          <w:szCs w:val="22"/>
          <w:lang w:val="en-US"/>
        </w:rPr>
        <w:t>since</w:t>
      </w:r>
      <w:r w:rsidRPr="00CA6BFD">
        <w:rPr>
          <w:bCs/>
          <w:sz w:val="22"/>
          <w:szCs w:val="22"/>
          <w:lang w:val="en-US"/>
        </w:rPr>
        <w:t xml:space="preserve"> June 2), and frequency of existing route </w:t>
      </w:r>
      <w:r>
        <w:rPr>
          <w:bCs/>
          <w:sz w:val="22"/>
          <w:szCs w:val="22"/>
          <w:lang w:val="en-US"/>
        </w:rPr>
        <w:t xml:space="preserve">has been </w:t>
      </w:r>
      <w:r w:rsidRPr="00CA6BFD">
        <w:rPr>
          <w:bCs/>
          <w:sz w:val="22"/>
          <w:szCs w:val="22"/>
          <w:lang w:val="en-US"/>
        </w:rPr>
        <w:t xml:space="preserve">increased: </w:t>
      </w:r>
      <w:r>
        <w:rPr>
          <w:bCs/>
          <w:sz w:val="22"/>
          <w:szCs w:val="22"/>
          <w:lang w:val="en-US"/>
        </w:rPr>
        <w:t>to</w:t>
      </w:r>
      <w:r w:rsidRPr="00CA6BFD">
        <w:rPr>
          <w:bCs/>
          <w:sz w:val="22"/>
          <w:szCs w:val="22"/>
          <w:lang w:val="en-US"/>
        </w:rPr>
        <w:t xml:space="preserve"> Tbilisi (up to 4 times a week </w:t>
      </w:r>
      <w:r>
        <w:rPr>
          <w:bCs/>
          <w:sz w:val="22"/>
          <w:szCs w:val="22"/>
          <w:lang w:val="en-US"/>
        </w:rPr>
        <w:t>since</w:t>
      </w:r>
      <w:r w:rsidRPr="00CA6BFD">
        <w:rPr>
          <w:bCs/>
          <w:sz w:val="22"/>
          <w:szCs w:val="22"/>
          <w:lang w:val="en-US"/>
        </w:rPr>
        <w:t xml:space="preserve"> June 19)</w:t>
      </w:r>
      <w:r w:rsidR="002664E4" w:rsidRPr="00A46EBC">
        <w:rPr>
          <w:bCs/>
          <w:sz w:val="22"/>
          <w:szCs w:val="22"/>
          <w:lang w:val="en-US"/>
        </w:rPr>
        <w:t>.</w:t>
      </w:r>
    </w:p>
    <w:p w:rsidR="00CA6BFD" w:rsidRDefault="00CA6BFD" w:rsidP="00CA6BFD">
      <w:pPr>
        <w:tabs>
          <w:tab w:val="left" w:pos="426"/>
        </w:tabs>
        <w:autoSpaceDE w:val="0"/>
        <w:autoSpaceDN w:val="0"/>
        <w:adjustRightInd w:val="0"/>
        <w:ind w:left="-567" w:firstLine="567"/>
        <w:jc w:val="both"/>
        <w:rPr>
          <w:bCs/>
          <w:sz w:val="22"/>
          <w:szCs w:val="22"/>
          <w:lang w:val="en-US"/>
        </w:rPr>
      </w:pPr>
    </w:p>
    <w:p w:rsidR="002664E4" w:rsidRDefault="002664E4" w:rsidP="002664E4">
      <w:pPr>
        <w:tabs>
          <w:tab w:val="left" w:pos="426"/>
        </w:tabs>
        <w:autoSpaceDE w:val="0"/>
        <w:autoSpaceDN w:val="0"/>
        <w:adjustRightInd w:val="0"/>
        <w:ind w:left="-567" w:firstLine="709"/>
        <w:jc w:val="both"/>
        <w:rPr>
          <w:bCs/>
          <w:sz w:val="22"/>
          <w:szCs w:val="22"/>
          <w:lang w:val="en-US"/>
        </w:rPr>
      </w:pPr>
      <w:r w:rsidRPr="009F4865">
        <w:rPr>
          <w:b/>
          <w:color w:val="000000"/>
          <w:sz w:val="22"/>
          <w:szCs w:val="22"/>
          <w:lang w:val="en-US"/>
        </w:rPr>
        <w:t>“</w:t>
      </w:r>
      <w:r>
        <w:rPr>
          <w:b/>
          <w:color w:val="000000"/>
          <w:sz w:val="22"/>
          <w:szCs w:val="22"/>
          <w:lang w:val="en-US"/>
        </w:rPr>
        <w:t>Power</w:t>
      </w:r>
      <w:r w:rsidRPr="009F4865">
        <w:rPr>
          <w:b/>
          <w:color w:val="000000"/>
          <w:sz w:val="22"/>
          <w:szCs w:val="22"/>
          <w:lang w:val="en-US"/>
        </w:rPr>
        <w:t xml:space="preserve">” </w:t>
      </w:r>
      <w:r w:rsidRPr="00271E83">
        <w:rPr>
          <w:color w:val="000000"/>
          <w:sz w:val="22"/>
          <w:szCs w:val="22"/>
          <w:lang w:val="en-US"/>
        </w:rPr>
        <w:t>Segment</w:t>
      </w:r>
      <w:r w:rsidRPr="009F4865">
        <w:rPr>
          <w:sz w:val="22"/>
          <w:szCs w:val="22"/>
          <w:lang w:val="en-US"/>
        </w:rPr>
        <w:t xml:space="preserve"> </w:t>
      </w:r>
      <w:r>
        <w:rPr>
          <w:sz w:val="22"/>
          <w:szCs w:val="22"/>
          <w:lang w:val="en-US"/>
        </w:rPr>
        <w:t>is grouped by the Fund’s Companies</w:t>
      </w:r>
      <w:r w:rsidRPr="009F4865">
        <w:rPr>
          <w:sz w:val="22"/>
          <w:szCs w:val="22"/>
          <w:lang w:val="en-US"/>
        </w:rPr>
        <w:t xml:space="preserve">: </w:t>
      </w:r>
      <w:r>
        <w:rPr>
          <w:bCs/>
          <w:sz w:val="22"/>
          <w:szCs w:val="22"/>
          <w:lang w:val="en-US"/>
        </w:rPr>
        <w:t>“</w:t>
      </w:r>
      <w:r w:rsidRPr="001E7106">
        <w:rPr>
          <w:bCs/>
          <w:sz w:val="22"/>
          <w:szCs w:val="22"/>
        </w:rPr>
        <w:t>К</w:t>
      </w:r>
      <w:r w:rsidRPr="001E7106">
        <w:rPr>
          <w:bCs/>
          <w:sz w:val="22"/>
          <w:szCs w:val="22"/>
          <w:lang w:val="en-US"/>
        </w:rPr>
        <w:t>EGOC</w:t>
      </w:r>
      <w:r>
        <w:rPr>
          <w:bCs/>
          <w:sz w:val="22"/>
          <w:szCs w:val="22"/>
          <w:lang w:val="en-US"/>
        </w:rPr>
        <w:t>”</w:t>
      </w:r>
      <w:r w:rsidRPr="009F4865">
        <w:rPr>
          <w:bCs/>
          <w:sz w:val="22"/>
          <w:szCs w:val="22"/>
          <w:lang w:val="en-US"/>
        </w:rPr>
        <w:t xml:space="preserve"> </w:t>
      </w:r>
      <w:r>
        <w:rPr>
          <w:bCs/>
          <w:sz w:val="22"/>
          <w:szCs w:val="22"/>
          <w:lang w:val="en-US"/>
        </w:rPr>
        <w:t>and</w:t>
      </w:r>
      <w:r w:rsidRPr="009F4865">
        <w:rPr>
          <w:bCs/>
          <w:sz w:val="22"/>
          <w:szCs w:val="22"/>
          <w:lang w:val="en-US"/>
        </w:rPr>
        <w:t xml:space="preserve"> </w:t>
      </w:r>
      <w:r>
        <w:rPr>
          <w:bCs/>
          <w:sz w:val="22"/>
          <w:szCs w:val="22"/>
          <w:lang w:val="en-US"/>
        </w:rPr>
        <w:t>“</w:t>
      </w:r>
      <w:proofErr w:type="spellStart"/>
      <w:r w:rsidRPr="009F4865">
        <w:rPr>
          <w:bCs/>
          <w:sz w:val="22"/>
          <w:szCs w:val="22"/>
          <w:lang w:val="en-US"/>
        </w:rPr>
        <w:t>Samruk</w:t>
      </w:r>
      <w:proofErr w:type="spellEnd"/>
      <w:r w:rsidRPr="009F4865">
        <w:rPr>
          <w:bCs/>
          <w:sz w:val="22"/>
          <w:szCs w:val="22"/>
          <w:lang w:val="en-US"/>
        </w:rPr>
        <w:t>-Energ</w:t>
      </w:r>
      <w:r>
        <w:rPr>
          <w:bCs/>
          <w:sz w:val="22"/>
          <w:szCs w:val="22"/>
          <w:lang w:val="en-US"/>
        </w:rPr>
        <w:t>y” JSC</w:t>
      </w:r>
      <w:r w:rsidRPr="009F4865">
        <w:rPr>
          <w:bCs/>
          <w:sz w:val="22"/>
          <w:szCs w:val="22"/>
          <w:lang w:val="en-US"/>
        </w:rPr>
        <w:t xml:space="preserve">, </w:t>
      </w:r>
      <w:r w:rsidR="00AF1A8A">
        <w:rPr>
          <w:bCs/>
          <w:sz w:val="22"/>
          <w:szCs w:val="22"/>
          <w:lang w:val="en-US"/>
        </w:rPr>
        <w:t>“</w:t>
      </w:r>
      <w:proofErr w:type="spellStart"/>
      <w:r w:rsidR="00AF1A8A">
        <w:rPr>
          <w:bCs/>
          <w:sz w:val="22"/>
          <w:szCs w:val="22"/>
          <w:lang w:val="en-US"/>
        </w:rPr>
        <w:t>Ekibastuzskaya</w:t>
      </w:r>
      <w:proofErr w:type="spellEnd"/>
      <w:r w:rsidR="00AF1A8A">
        <w:rPr>
          <w:bCs/>
          <w:sz w:val="22"/>
          <w:szCs w:val="22"/>
          <w:lang w:val="en-US"/>
        </w:rPr>
        <w:t xml:space="preserve"> GRES-1” LLP,</w:t>
      </w:r>
      <w:r w:rsidR="00AF1A8A" w:rsidRPr="009F4865">
        <w:rPr>
          <w:bCs/>
          <w:sz w:val="22"/>
          <w:szCs w:val="22"/>
          <w:lang w:val="en-US"/>
        </w:rPr>
        <w:t xml:space="preserve"> </w:t>
      </w:r>
      <w:r w:rsidRPr="009F4865">
        <w:rPr>
          <w:bCs/>
          <w:sz w:val="22"/>
          <w:szCs w:val="22"/>
          <w:lang w:val="en-US"/>
        </w:rPr>
        <w:t xml:space="preserve">which </w:t>
      </w:r>
      <w:r>
        <w:rPr>
          <w:bCs/>
          <w:sz w:val="22"/>
          <w:szCs w:val="22"/>
          <w:lang w:val="en-US"/>
        </w:rPr>
        <w:t>are the largest in this segment</w:t>
      </w:r>
      <w:r w:rsidRPr="009F4865">
        <w:rPr>
          <w:bCs/>
          <w:sz w:val="22"/>
          <w:szCs w:val="22"/>
          <w:lang w:val="en-US"/>
        </w:rPr>
        <w:t xml:space="preserve">, </w:t>
      </w:r>
      <w:r>
        <w:rPr>
          <w:bCs/>
          <w:sz w:val="22"/>
          <w:szCs w:val="22"/>
          <w:lang w:val="en-US"/>
        </w:rPr>
        <w:t>“KOREM” JSC</w:t>
      </w:r>
      <w:r w:rsidRPr="009F4865">
        <w:rPr>
          <w:bCs/>
          <w:sz w:val="22"/>
          <w:szCs w:val="22"/>
          <w:lang w:val="en-US"/>
        </w:rPr>
        <w:t xml:space="preserve">, </w:t>
      </w:r>
      <w:r>
        <w:rPr>
          <w:bCs/>
          <w:sz w:val="22"/>
          <w:szCs w:val="22"/>
          <w:lang w:val="en-US"/>
        </w:rPr>
        <w:t>“</w:t>
      </w:r>
      <w:r w:rsidRPr="009F4865">
        <w:rPr>
          <w:bCs/>
          <w:sz w:val="22"/>
          <w:szCs w:val="22"/>
          <w:lang w:val="en-US"/>
        </w:rPr>
        <w:t xml:space="preserve">Kazakh Research Institute of Energy </w:t>
      </w:r>
      <w:r>
        <w:rPr>
          <w:bCs/>
          <w:sz w:val="22"/>
          <w:szCs w:val="22"/>
          <w:lang w:val="en-US"/>
        </w:rPr>
        <w:t>named after</w:t>
      </w:r>
      <w:r w:rsidR="007D1182">
        <w:rPr>
          <w:bCs/>
          <w:sz w:val="22"/>
          <w:szCs w:val="22"/>
          <w:lang w:val="en-US"/>
        </w:rPr>
        <w:t xml:space="preserve"> </w:t>
      </w:r>
      <w:proofErr w:type="spellStart"/>
      <w:r w:rsidR="007D1182">
        <w:rPr>
          <w:bCs/>
          <w:sz w:val="22"/>
          <w:szCs w:val="22"/>
          <w:lang w:val="en-US"/>
        </w:rPr>
        <w:t>Sh.Chokin</w:t>
      </w:r>
      <w:proofErr w:type="spellEnd"/>
      <w:r w:rsidR="00773677">
        <w:rPr>
          <w:bCs/>
          <w:sz w:val="22"/>
          <w:szCs w:val="22"/>
          <w:lang w:val="en-US"/>
        </w:rPr>
        <w:t>” JSC</w:t>
      </w:r>
      <w:r w:rsidRPr="009F4865">
        <w:rPr>
          <w:bCs/>
          <w:sz w:val="22"/>
          <w:szCs w:val="22"/>
          <w:lang w:val="en-US"/>
        </w:rPr>
        <w:t>.</w:t>
      </w:r>
    </w:p>
    <w:p w:rsidR="002664E4" w:rsidRPr="009F4865" w:rsidRDefault="009A5E0C" w:rsidP="002664E4">
      <w:pPr>
        <w:tabs>
          <w:tab w:val="left" w:pos="426"/>
          <w:tab w:val="left" w:pos="993"/>
        </w:tabs>
        <w:autoSpaceDE w:val="0"/>
        <w:autoSpaceDN w:val="0"/>
        <w:adjustRightInd w:val="0"/>
        <w:ind w:left="-567" w:firstLine="567"/>
        <w:jc w:val="both"/>
        <w:rPr>
          <w:color w:val="000000"/>
          <w:sz w:val="22"/>
          <w:szCs w:val="22"/>
          <w:lang w:val="en-US"/>
        </w:rPr>
      </w:pPr>
      <w:r>
        <w:rPr>
          <w:b/>
          <w:color w:val="000000"/>
          <w:sz w:val="22"/>
          <w:szCs w:val="22"/>
          <w:lang w:val="en-US"/>
        </w:rPr>
        <w:t>“</w:t>
      </w:r>
      <w:r w:rsidR="002664E4" w:rsidRPr="009F4865">
        <w:rPr>
          <w:b/>
          <w:color w:val="000000"/>
          <w:sz w:val="22"/>
          <w:szCs w:val="22"/>
          <w:lang w:val="en-US"/>
        </w:rPr>
        <w:t>KEGOC</w:t>
      </w:r>
      <w:r>
        <w:rPr>
          <w:b/>
          <w:color w:val="000000"/>
          <w:sz w:val="22"/>
          <w:szCs w:val="22"/>
          <w:lang w:val="en-US"/>
        </w:rPr>
        <w:t>”</w:t>
      </w:r>
      <w:r w:rsidR="002664E4" w:rsidRPr="009F4865">
        <w:rPr>
          <w:b/>
          <w:color w:val="000000"/>
          <w:sz w:val="22"/>
          <w:szCs w:val="22"/>
          <w:lang w:val="en-US"/>
        </w:rPr>
        <w:t xml:space="preserve"> </w:t>
      </w:r>
      <w:r w:rsidR="007D1182">
        <w:rPr>
          <w:b/>
          <w:color w:val="000000"/>
          <w:sz w:val="22"/>
          <w:szCs w:val="22"/>
          <w:lang w:val="en-US"/>
        </w:rPr>
        <w:t xml:space="preserve">JSC (hereinafter - KEGOC) </w:t>
      </w:r>
      <w:r w:rsidR="002664E4" w:rsidRPr="009F4865">
        <w:rPr>
          <w:color w:val="000000"/>
          <w:sz w:val="22"/>
          <w:szCs w:val="22"/>
          <w:lang w:val="en-US"/>
        </w:rPr>
        <w:t xml:space="preserve">is the System Operator of the Unified Power System of Kazakhstan (hereinafter - the </w:t>
      </w:r>
      <w:r w:rsidR="002664E4">
        <w:rPr>
          <w:color w:val="000000"/>
          <w:sz w:val="22"/>
          <w:szCs w:val="22"/>
          <w:lang w:val="en-US"/>
        </w:rPr>
        <w:t>UPS of RK</w:t>
      </w:r>
      <w:r w:rsidR="002664E4" w:rsidRPr="009F4865">
        <w:rPr>
          <w:color w:val="000000"/>
          <w:sz w:val="22"/>
          <w:szCs w:val="22"/>
          <w:lang w:val="en-US"/>
        </w:rPr>
        <w:t xml:space="preserve">). </w:t>
      </w:r>
      <w:r w:rsidR="002664E4">
        <w:rPr>
          <w:color w:val="000000"/>
          <w:sz w:val="22"/>
          <w:szCs w:val="22"/>
          <w:lang w:val="en-US"/>
        </w:rPr>
        <w:t>It p</w:t>
      </w:r>
      <w:r w:rsidR="002664E4" w:rsidRPr="009F4865">
        <w:rPr>
          <w:color w:val="000000"/>
          <w:sz w:val="22"/>
          <w:szCs w:val="22"/>
          <w:lang w:val="en-US"/>
        </w:rPr>
        <w:t xml:space="preserve">rovides services for power transmission, technical </w:t>
      </w:r>
      <w:r w:rsidR="002664E4">
        <w:rPr>
          <w:color w:val="000000"/>
          <w:sz w:val="22"/>
          <w:szCs w:val="22"/>
          <w:lang w:val="en-US"/>
        </w:rPr>
        <w:t>dispatching of</w:t>
      </w:r>
      <w:r w:rsidR="002664E4" w:rsidRPr="009F4865">
        <w:rPr>
          <w:color w:val="000000"/>
          <w:sz w:val="22"/>
          <w:szCs w:val="22"/>
          <w:lang w:val="en-US"/>
        </w:rPr>
        <w:t xml:space="preserve"> </w:t>
      </w:r>
      <w:r w:rsidR="002664E4">
        <w:rPr>
          <w:color w:val="000000"/>
          <w:sz w:val="22"/>
          <w:szCs w:val="22"/>
          <w:lang w:val="en-US"/>
        </w:rPr>
        <w:t>grid output and</w:t>
      </w:r>
      <w:r w:rsidR="002664E4" w:rsidRPr="009F4865">
        <w:rPr>
          <w:color w:val="000000"/>
          <w:sz w:val="22"/>
          <w:szCs w:val="22"/>
          <w:lang w:val="en-US"/>
        </w:rPr>
        <w:t xml:space="preserve"> energy consumption, balancing of the production / consumption of electricity and </w:t>
      </w:r>
      <w:r w:rsidR="002664E4">
        <w:rPr>
          <w:color w:val="000000"/>
          <w:sz w:val="22"/>
          <w:szCs w:val="22"/>
          <w:lang w:val="en-US"/>
        </w:rPr>
        <w:t xml:space="preserve"> </w:t>
      </w:r>
      <w:r w:rsidR="002664E4" w:rsidRPr="009F4865">
        <w:rPr>
          <w:color w:val="000000"/>
          <w:sz w:val="22"/>
          <w:szCs w:val="22"/>
          <w:lang w:val="en-US"/>
        </w:rPr>
        <w:t>ensure</w:t>
      </w:r>
      <w:r w:rsidR="002664E4">
        <w:rPr>
          <w:color w:val="000000"/>
          <w:sz w:val="22"/>
          <w:szCs w:val="22"/>
          <w:lang w:val="en-US"/>
        </w:rPr>
        <w:t>s</w:t>
      </w:r>
      <w:r w:rsidR="002664E4" w:rsidRPr="009F4865">
        <w:rPr>
          <w:color w:val="000000"/>
          <w:sz w:val="22"/>
          <w:szCs w:val="22"/>
          <w:lang w:val="en-US"/>
        </w:rPr>
        <w:t xml:space="preserve"> the contractual value</w:t>
      </w:r>
      <w:r w:rsidR="002664E4">
        <w:rPr>
          <w:color w:val="000000"/>
          <w:sz w:val="22"/>
          <w:szCs w:val="22"/>
          <w:lang w:val="en-US"/>
        </w:rPr>
        <w:t>s</w:t>
      </w:r>
      <w:r w:rsidR="002664E4" w:rsidRPr="009F4865">
        <w:rPr>
          <w:color w:val="000000"/>
          <w:sz w:val="22"/>
          <w:szCs w:val="22"/>
          <w:lang w:val="en-US"/>
        </w:rPr>
        <w:t xml:space="preserve"> of electrical energy flows from the power grids of neighboring countries in accordance with the terms of contracts, provides centralized </w:t>
      </w:r>
      <w:r w:rsidR="002664E4">
        <w:rPr>
          <w:color w:val="000000"/>
          <w:sz w:val="22"/>
          <w:szCs w:val="22"/>
          <w:lang w:val="en-US"/>
        </w:rPr>
        <w:t xml:space="preserve">operational-dispatching </w:t>
      </w:r>
      <w:r w:rsidR="002664E4" w:rsidRPr="009F4865">
        <w:rPr>
          <w:color w:val="000000"/>
          <w:sz w:val="22"/>
          <w:szCs w:val="22"/>
          <w:lang w:val="en-US"/>
        </w:rPr>
        <w:t xml:space="preserve">maintenance </w:t>
      </w:r>
      <w:r w:rsidR="002664E4">
        <w:rPr>
          <w:color w:val="000000"/>
          <w:sz w:val="22"/>
          <w:szCs w:val="22"/>
          <w:lang w:val="en-US"/>
        </w:rPr>
        <w:t>of</w:t>
      </w:r>
      <w:r w:rsidR="002664E4" w:rsidRPr="009F4865">
        <w:rPr>
          <w:color w:val="000000"/>
          <w:sz w:val="22"/>
          <w:szCs w:val="22"/>
          <w:lang w:val="en-US"/>
        </w:rPr>
        <w:t xml:space="preserve"> facilities </w:t>
      </w:r>
      <w:r w:rsidR="002664E4">
        <w:rPr>
          <w:color w:val="000000"/>
          <w:sz w:val="22"/>
          <w:szCs w:val="22"/>
          <w:lang w:val="en-US"/>
        </w:rPr>
        <w:t>of UPS of</w:t>
      </w:r>
      <w:r w:rsidR="002664E4" w:rsidRPr="009F4865">
        <w:rPr>
          <w:color w:val="000000"/>
          <w:sz w:val="22"/>
          <w:szCs w:val="22"/>
          <w:lang w:val="en-US"/>
        </w:rPr>
        <w:t xml:space="preserve"> RK regardless of ownership.</w:t>
      </w:r>
    </w:p>
    <w:p w:rsidR="00C9328C" w:rsidRDefault="002664E4" w:rsidP="002664E4">
      <w:pPr>
        <w:tabs>
          <w:tab w:val="left" w:pos="426"/>
          <w:tab w:val="left" w:pos="993"/>
        </w:tabs>
        <w:autoSpaceDE w:val="0"/>
        <w:autoSpaceDN w:val="0"/>
        <w:adjustRightInd w:val="0"/>
        <w:ind w:left="-567" w:firstLine="567"/>
        <w:jc w:val="both"/>
        <w:rPr>
          <w:color w:val="000000"/>
          <w:sz w:val="22"/>
          <w:szCs w:val="22"/>
          <w:lang w:val="en-US"/>
        </w:rPr>
      </w:pPr>
      <w:r w:rsidRPr="009F4865">
        <w:rPr>
          <w:color w:val="000000"/>
          <w:sz w:val="22"/>
          <w:szCs w:val="22"/>
          <w:lang w:val="en-US"/>
        </w:rPr>
        <w:t xml:space="preserve">KEGOC takes 100% of the market for services rendered. The structure </w:t>
      </w:r>
      <w:r>
        <w:rPr>
          <w:color w:val="000000"/>
          <w:sz w:val="22"/>
          <w:szCs w:val="22"/>
          <w:lang w:val="en-US"/>
        </w:rPr>
        <w:t xml:space="preserve">of KEGOC </w:t>
      </w:r>
      <w:r w:rsidRPr="009F4865">
        <w:rPr>
          <w:color w:val="000000"/>
          <w:sz w:val="22"/>
          <w:szCs w:val="22"/>
          <w:lang w:val="en-US"/>
        </w:rPr>
        <w:t xml:space="preserve">consists of 9 branches </w:t>
      </w:r>
      <w:r>
        <w:rPr>
          <w:color w:val="000000"/>
          <w:sz w:val="22"/>
          <w:szCs w:val="22"/>
          <w:lang w:val="en-US"/>
        </w:rPr>
        <w:t xml:space="preserve">of </w:t>
      </w:r>
      <w:r w:rsidRPr="009F4865">
        <w:rPr>
          <w:color w:val="000000"/>
          <w:sz w:val="22"/>
          <w:szCs w:val="22"/>
          <w:lang w:val="en-US"/>
        </w:rPr>
        <w:t xml:space="preserve">intersystem electric networks located throughout Kazakhstan, </w:t>
      </w:r>
      <w:r w:rsidR="00271E83">
        <w:rPr>
          <w:color w:val="000000"/>
          <w:sz w:val="22"/>
          <w:szCs w:val="22"/>
          <w:lang w:val="en-US"/>
        </w:rPr>
        <w:t>National Dispatching Centre of systemic operator, Representative Office in Almaty and 2 companies (“</w:t>
      </w:r>
      <w:proofErr w:type="spellStart"/>
      <w:r w:rsidR="00271E83">
        <w:rPr>
          <w:color w:val="000000"/>
          <w:sz w:val="22"/>
          <w:szCs w:val="22"/>
          <w:lang w:val="en-US"/>
        </w:rPr>
        <w:t>Energoinform</w:t>
      </w:r>
      <w:proofErr w:type="spellEnd"/>
      <w:r w:rsidR="00271E83">
        <w:rPr>
          <w:color w:val="000000"/>
          <w:sz w:val="22"/>
          <w:szCs w:val="22"/>
          <w:lang w:val="en-US"/>
        </w:rPr>
        <w:t>” JSC and “</w:t>
      </w:r>
      <w:proofErr w:type="spellStart"/>
      <w:r w:rsidR="00271E83">
        <w:rPr>
          <w:color w:val="000000"/>
          <w:sz w:val="22"/>
          <w:szCs w:val="22"/>
          <w:lang w:val="en-US"/>
        </w:rPr>
        <w:t>Batys</w:t>
      </w:r>
      <w:proofErr w:type="spellEnd"/>
      <w:r w:rsidR="00271E83">
        <w:rPr>
          <w:color w:val="000000"/>
          <w:sz w:val="22"/>
          <w:szCs w:val="22"/>
          <w:lang w:val="en-US"/>
        </w:rPr>
        <w:t xml:space="preserve"> </w:t>
      </w:r>
      <w:proofErr w:type="spellStart"/>
      <w:r w:rsidR="00271E83">
        <w:rPr>
          <w:color w:val="000000"/>
          <w:sz w:val="22"/>
          <w:szCs w:val="22"/>
          <w:lang w:val="en-US"/>
        </w:rPr>
        <w:t>Tranzit</w:t>
      </w:r>
      <w:proofErr w:type="spellEnd"/>
      <w:r w:rsidR="00271E83">
        <w:rPr>
          <w:color w:val="000000"/>
          <w:sz w:val="22"/>
          <w:szCs w:val="22"/>
          <w:lang w:val="en-US"/>
        </w:rPr>
        <w:t xml:space="preserve">” JSC). </w:t>
      </w:r>
    </w:p>
    <w:p w:rsidR="002664E4" w:rsidRPr="00C7468E" w:rsidRDefault="002664E4" w:rsidP="00C7468E">
      <w:pPr>
        <w:tabs>
          <w:tab w:val="left" w:pos="426"/>
          <w:tab w:val="left" w:pos="993"/>
        </w:tabs>
        <w:autoSpaceDE w:val="0"/>
        <w:autoSpaceDN w:val="0"/>
        <w:adjustRightInd w:val="0"/>
        <w:ind w:left="-567" w:firstLine="567"/>
        <w:jc w:val="both"/>
        <w:rPr>
          <w:color w:val="000000"/>
          <w:sz w:val="22"/>
          <w:szCs w:val="22"/>
          <w:lang w:val="en-US"/>
        </w:rPr>
      </w:pPr>
      <w:r w:rsidRPr="00C7468E">
        <w:rPr>
          <w:color w:val="000000"/>
          <w:sz w:val="22"/>
          <w:szCs w:val="22"/>
          <w:lang w:val="en-US"/>
        </w:rPr>
        <w:t xml:space="preserve">The principal activities of </w:t>
      </w:r>
      <w:r w:rsidR="00A42A13" w:rsidRPr="002A603F">
        <w:rPr>
          <w:b/>
          <w:color w:val="000000"/>
          <w:sz w:val="22"/>
          <w:szCs w:val="22"/>
          <w:lang w:val="en-US"/>
        </w:rPr>
        <w:t>“</w:t>
      </w:r>
      <w:r w:rsidRPr="002A603F">
        <w:rPr>
          <w:b/>
          <w:color w:val="000000"/>
          <w:sz w:val="22"/>
          <w:szCs w:val="22"/>
          <w:lang w:val="en-US"/>
        </w:rPr>
        <w:t>Samruk-Energy</w:t>
      </w:r>
      <w:r w:rsidR="00A42A13" w:rsidRPr="002A603F">
        <w:rPr>
          <w:b/>
          <w:color w:val="000000"/>
          <w:sz w:val="22"/>
          <w:szCs w:val="22"/>
          <w:lang w:val="en-US"/>
        </w:rPr>
        <w:t>” JSC</w:t>
      </w:r>
      <w:r w:rsidR="00A42A13" w:rsidRPr="00C7468E">
        <w:rPr>
          <w:color w:val="000000"/>
          <w:sz w:val="22"/>
          <w:szCs w:val="22"/>
          <w:lang w:val="en-US"/>
        </w:rPr>
        <w:t xml:space="preserve"> (hereinafter – Samruk-Energy) </w:t>
      </w:r>
      <w:r w:rsidRPr="00C7468E">
        <w:rPr>
          <w:color w:val="000000"/>
          <w:sz w:val="22"/>
          <w:szCs w:val="22"/>
          <w:lang w:val="en-US"/>
        </w:rPr>
        <w:t xml:space="preserve">and its subsidiaries are production </w:t>
      </w:r>
      <w:r w:rsidR="00C7468E" w:rsidRPr="00C7468E">
        <w:rPr>
          <w:color w:val="000000"/>
          <w:sz w:val="22"/>
          <w:szCs w:val="22"/>
          <w:lang w:val="en-US"/>
        </w:rPr>
        <w:t>of electric and thermal energy, transportation and distribution of electricity, production and sale of coal.</w:t>
      </w:r>
    </w:p>
    <w:p w:rsidR="002664E4" w:rsidRPr="0077532A" w:rsidRDefault="002664E4" w:rsidP="002664E4">
      <w:pPr>
        <w:tabs>
          <w:tab w:val="left" w:pos="426"/>
          <w:tab w:val="left" w:pos="993"/>
        </w:tabs>
        <w:autoSpaceDE w:val="0"/>
        <w:autoSpaceDN w:val="0"/>
        <w:adjustRightInd w:val="0"/>
        <w:ind w:left="-567" w:firstLine="567"/>
        <w:jc w:val="both"/>
        <w:rPr>
          <w:sz w:val="22"/>
          <w:szCs w:val="22"/>
          <w:lang w:val="en-US"/>
        </w:rPr>
      </w:pPr>
      <w:r w:rsidRPr="0077532A">
        <w:rPr>
          <w:sz w:val="22"/>
          <w:szCs w:val="22"/>
          <w:lang w:val="en-US"/>
        </w:rPr>
        <w:t xml:space="preserve">Market share of electricity production in the Republic of Kazakhstan in </w:t>
      </w:r>
      <w:r w:rsidR="00A42A13">
        <w:rPr>
          <w:sz w:val="22"/>
          <w:szCs w:val="22"/>
          <w:lang w:val="en-US"/>
        </w:rPr>
        <w:t>the reporting period amounted to 15</w:t>
      </w:r>
      <w:r w:rsidRPr="0077532A">
        <w:rPr>
          <w:sz w:val="22"/>
          <w:szCs w:val="22"/>
          <w:lang w:val="en-US"/>
        </w:rPr>
        <w:t>%</w:t>
      </w:r>
      <w:r>
        <w:rPr>
          <w:sz w:val="22"/>
          <w:szCs w:val="22"/>
          <w:lang w:val="en-US"/>
        </w:rPr>
        <w:t>,</w:t>
      </w:r>
      <w:r w:rsidR="00A42A13">
        <w:rPr>
          <w:sz w:val="22"/>
          <w:szCs w:val="22"/>
          <w:lang w:val="en-US"/>
        </w:rPr>
        <w:t xml:space="preserve"> in 2011 </w:t>
      </w:r>
      <w:r w:rsidRPr="0077532A">
        <w:rPr>
          <w:sz w:val="22"/>
          <w:szCs w:val="22"/>
          <w:lang w:val="en-US"/>
        </w:rPr>
        <w:t xml:space="preserve">- 14%, coal production in </w:t>
      </w:r>
      <w:r w:rsidR="00A42A13">
        <w:rPr>
          <w:sz w:val="22"/>
          <w:szCs w:val="22"/>
          <w:lang w:val="en-US"/>
        </w:rPr>
        <w:t>the reporting period</w:t>
      </w:r>
      <w:r w:rsidRPr="0077532A">
        <w:rPr>
          <w:sz w:val="22"/>
          <w:szCs w:val="22"/>
          <w:lang w:val="en-US"/>
        </w:rPr>
        <w:t xml:space="preserve"> amounted to </w:t>
      </w:r>
      <w:r w:rsidR="00A42A13">
        <w:rPr>
          <w:sz w:val="22"/>
          <w:szCs w:val="22"/>
          <w:lang w:val="en-US"/>
        </w:rPr>
        <w:t>–</w:t>
      </w:r>
      <w:r w:rsidRPr="0077532A">
        <w:rPr>
          <w:sz w:val="22"/>
          <w:szCs w:val="22"/>
          <w:lang w:val="en-US"/>
        </w:rPr>
        <w:t xml:space="preserve"> </w:t>
      </w:r>
      <w:r w:rsidR="00A42A13">
        <w:rPr>
          <w:sz w:val="22"/>
          <w:szCs w:val="22"/>
          <w:lang w:val="en-US"/>
        </w:rPr>
        <w:t>42.7</w:t>
      </w:r>
      <w:r w:rsidRPr="0077532A">
        <w:rPr>
          <w:sz w:val="22"/>
          <w:szCs w:val="22"/>
          <w:lang w:val="en-US"/>
        </w:rPr>
        <w:t>%</w:t>
      </w:r>
      <w:r>
        <w:rPr>
          <w:sz w:val="22"/>
          <w:szCs w:val="22"/>
          <w:lang w:val="en-US"/>
        </w:rPr>
        <w:t>,</w:t>
      </w:r>
      <w:r w:rsidRPr="0077532A">
        <w:rPr>
          <w:sz w:val="22"/>
          <w:szCs w:val="22"/>
          <w:lang w:val="en-US"/>
        </w:rPr>
        <w:t xml:space="preserve"> in </w:t>
      </w:r>
      <w:r w:rsidR="00A42A13">
        <w:rPr>
          <w:sz w:val="22"/>
          <w:szCs w:val="22"/>
          <w:lang w:val="en-US"/>
        </w:rPr>
        <w:t>the same period of 2011 –</w:t>
      </w:r>
      <w:r w:rsidRPr="0077532A">
        <w:rPr>
          <w:sz w:val="22"/>
          <w:szCs w:val="22"/>
          <w:lang w:val="en-US"/>
        </w:rPr>
        <w:t xml:space="preserve"> </w:t>
      </w:r>
      <w:r w:rsidR="00A42A13">
        <w:rPr>
          <w:sz w:val="22"/>
          <w:szCs w:val="22"/>
          <w:lang w:val="en-US"/>
        </w:rPr>
        <w:t>44.8</w:t>
      </w:r>
      <w:r w:rsidRPr="0077532A">
        <w:rPr>
          <w:sz w:val="22"/>
          <w:szCs w:val="22"/>
          <w:lang w:val="en-US"/>
        </w:rPr>
        <w:t>%.</w:t>
      </w:r>
    </w:p>
    <w:p w:rsidR="00A42A13" w:rsidRDefault="002664E4" w:rsidP="002664E4">
      <w:pPr>
        <w:tabs>
          <w:tab w:val="left" w:pos="426"/>
          <w:tab w:val="left" w:pos="993"/>
        </w:tabs>
        <w:autoSpaceDE w:val="0"/>
        <w:autoSpaceDN w:val="0"/>
        <w:adjustRightInd w:val="0"/>
        <w:ind w:left="-567" w:firstLine="567"/>
        <w:jc w:val="both"/>
        <w:rPr>
          <w:sz w:val="22"/>
          <w:szCs w:val="22"/>
          <w:lang w:val="en-US"/>
        </w:rPr>
      </w:pPr>
      <w:r w:rsidRPr="0077532A">
        <w:rPr>
          <w:sz w:val="22"/>
          <w:szCs w:val="22"/>
          <w:lang w:val="en-US"/>
        </w:rPr>
        <w:t xml:space="preserve">The shareholders </w:t>
      </w:r>
      <w:r>
        <w:rPr>
          <w:sz w:val="22"/>
          <w:szCs w:val="22"/>
          <w:lang w:val="en-US"/>
        </w:rPr>
        <w:t xml:space="preserve">of </w:t>
      </w:r>
      <w:r w:rsidRPr="0077532A">
        <w:rPr>
          <w:sz w:val="22"/>
          <w:szCs w:val="22"/>
          <w:lang w:val="en-US"/>
        </w:rPr>
        <w:t xml:space="preserve">Samruk-Energy </w:t>
      </w:r>
      <w:r>
        <w:rPr>
          <w:sz w:val="22"/>
          <w:szCs w:val="22"/>
          <w:lang w:val="en-US"/>
        </w:rPr>
        <w:t xml:space="preserve">are the </w:t>
      </w:r>
      <w:r w:rsidRPr="0077532A">
        <w:rPr>
          <w:sz w:val="22"/>
          <w:szCs w:val="22"/>
          <w:lang w:val="en-US"/>
        </w:rPr>
        <w:t xml:space="preserve">Fund and </w:t>
      </w:r>
      <w:r>
        <w:rPr>
          <w:sz w:val="22"/>
          <w:szCs w:val="22"/>
          <w:lang w:val="en-US"/>
        </w:rPr>
        <w:t>“KazTransGas” JSC</w:t>
      </w:r>
      <w:r w:rsidRPr="0077532A">
        <w:rPr>
          <w:sz w:val="22"/>
          <w:szCs w:val="22"/>
          <w:lang w:val="en-US"/>
        </w:rPr>
        <w:t xml:space="preserve">, which </w:t>
      </w:r>
      <w:r>
        <w:rPr>
          <w:sz w:val="22"/>
          <w:szCs w:val="22"/>
          <w:lang w:val="en-US"/>
        </w:rPr>
        <w:t>own</w:t>
      </w:r>
      <w:r w:rsidRPr="0077532A">
        <w:rPr>
          <w:sz w:val="22"/>
          <w:szCs w:val="22"/>
          <w:lang w:val="en-US"/>
        </w:rPr>
        <w:t xml:space="preserve"> </w:t>
      </w:r>
      <w:r w:rsidR="00A42A13">
        <w:rPr>
          <w:sz w:val="22"/>
          <w:szCs w:val="22"/>
          <w:lang w:val="en-US"/>
        </w:rPr>
        <w:t>95.2</w:t>
      </w:r>
      <w:r w:rsidRPr="0077532A">
        <w:rPr>
          <w:sz w:val="22"/>
          <w:szCs w:val="22"/>
          <w:lang w:val="en-US"/>
        </w:rPr>
        <w:t xml:space="preserve">% and </w:t>
      </w:r>
      <w:r w:rsidR="00A42A13">
        <w:rPr>
          <w:sz w:val="22"/>
          <w:szCs w:val="22"/>
          <w:lang w:val="en-US"/>
        </w:rPr>
        <w:t>4.8</w:t>
      </w:r>
      <w:r w:rsidRPr="0077532A">
        <w:rPr>
          <w:sz w:val="22"/>
          <w:szCs w:val="22"/>
          <w:lang w:val="en-US"/>
        </w:rPr>
        <w:t xml:space="preserve">% </w:t>
      </w:r>
      <w:r>
        <w:rPr>
          <w:sz w:val="22"/>
          <w:szCs w:val="22"/>
          <w:lang w:val="en-US"/>
        </w:rPr>
        <w:t xml:space="preserve">shares </w:t>
      </w:r>
      <w:r w:rsidRPr="0077532A">
        <w:rPr>
          <w:sz w:val="22"/>
          <w:szCs w:val="22"/>
          <w:lang w:val="en-US"/>
        </w:rPr>
        <w:t>in the company. As a result of the work carried out by the F</w:t>
      </w:r>
      <w:r>
        <w:rPr>
          <w:sz w:val="22"/>
          <w:szCs w:val="22"/>
          <w:lang w:val="en-US"/>
        </w:rPr>
        <w:t xml:space="preserve">und </w:t>
      </w:r>
      <w:r w:rsidRPr="0077532A">
        <w:rPr>
          <w:sz w:val="22"/>
          <w:szCs w:val="22"/>
          <w:lang w:val="en-US"/>
        </w:rPr>
        <w:t xml:space="preserve">in conjunction with Samruk-Energy and </w:t>
      </w:r>
      <w:r>
        <w:rPr>
          <w:sz w:val="22"/>
          <w:szCs w:val="22"/>
          <w:lang w:val="en-US"/>
        </w:rPr>
        <w:t>KMG</w:t>
      </w:r>
      <w:r w:rsidRPr="0077532A">
        <w:rPr>
          <w:sz w:val="22"/>
          <w:szCs w:val="22"/>
          <w:lang w:val="en-US"/>
        </w:rPr>
        <w:t xml:space="preserve"> in accordance with the restructuring plan</w:t>
      </w:r>
      <w:r w:rsidR="00A42A13">
        <w:rPr>
          <w:sz w:val="22"/>
          <w:szCs w:val="22"/>
          <w:lang w:val="en-US"/>
        </w:rPr>
        <w:t xml:space="preserve"> and Decree of the Government of RK # 1103 dated August 29, 2012</w:t>
      </w:r>
      <w:r>
        <w:rPr>
          <w:sz w:val="22"/>
          <w:szCs w:val="22"/>
          <w:lang w:val="en-US"/>
        </w:rPr>
        <w:t>,</w:t>
      </w:r>
      <w:r w:rsidRPr="0077532A">
        <w:rPr>
          <w:sz w:val="22"/>
          <w:szCs w:val="22"/>
          <w:lang w:val="en-US"/>
        </w:rPr>
        <w:t xml:space="preserve"> the share of 4.8% </w:t>
      </w:r>
      <w:r>
        <w:rPr>
          <w:sz w:val="22"/>
          <w:szCs w:val="22"/>
          <w:lang w:val="en-US"/>
        </w:rPr>
        <w:t>will be</w:t>
      </w:r>
      <w:r w:rsidRPr="0077532A">
        <w:rPr>
          <w:sz w:val="22"/>
          <w:szCs w:val="22"/>
          <w:lang w:val="en-US"/>
        </w:rPr>
        <w:t xml:space="preserve"> </w:t>
      </w:r>
      <w:r w:rsidR="00A42A13">
        <w:rPr>
          <w:sz w:val="22"/>
          <w:szCs w:val="22"/>
          <w:lang w:val="en-US"/>
        </w:rPr>
        <w:t>transferred</w:t>
      </w:r>
      <w:r w:rsidRPr="0077532A">
        <w:rPr>
          <w:sz w:val="22"/>
          <w:szCs w:val="22"/>
          <w:lang w:val="en-US"/>
        </w:rPr>
        <w:t xml:space="preserve"> to the Fund</w:t>
      </w:r>
      <w:r w:rsidR="00A42A13">
        <w:rPr>
          <w:sz w:val="22"/>
          <w:szCs w:val="22"/>
          <w:lang w:val="en-US"/>
        </w:rPr>
        <w:t xml:space="preserve"> by Samruk-Energy by the end of this year</w:t>
      </w:r>
      <w:r w:rsidRPr="0077532A">
        <w:rPr>
          <w:sz w:val="22"/>
          <w:szCs w:val="22"/>
          <w:lang w:val="en-US"/>
        </w:rPr>
        <w:t>.</w:t>
      </w:r>
    </w:p>
    <w:p w:rsidR="002664E4" w:rsidRDefault="002664E4" w:rsidP="002664E4">
      <w:pPr>
        <w:tabs>
          <w:tab w:val="left" w:pos="426"/>
          <w:tab w:val="left" w:pos="993"/>
        </w:tabs>
        <w:autoSpaceDE w:val="0"/>
        <w:autoSpaceDN w:val="0"/>
        <w:adjustRightInd w:val="0"/>
        <w:ind w:left="-567" w:firstLine="567"/>
        <w:jc w:val="both"/>
        <w:rPr>
          <w:sz w:val="22"/>
          <w:szCs w:val="22"/>
          <w:lang w:val="en-US"/>
        </w:rPr>
      </w:pPr>
      <w:r>
        <w:rPr>
          <w:sz w:val="22"/>
          <w:szCs w:val="22"/>
          <w:lang w:val="en-US"/>
        </w:rPr>
        <w:t>The assets s</w:t>
      </w:r>
      <w:r w:rsidRPr="0077532A">
        <w:rPr>
          <w:sz w:val="22"/>
          <w:szCs w:val="22"/>
          <w:lang w:val="en-US"/>
        </w:rPr>
        <w:t xml:space="preserve">tructure </w:t>
      </w:r>
      <w:r>
        <w:rPr>
          <w:sz w:val="22"/>
          <w:szCs w:val="22"/>
          <w:lang w:val="en-US"/>
        </w:rPr>
        <w:t>of</w:t>
      </w:r>
      <w:r w:rsidRPr="0077532A">
        <w:rPr>
          <w:sz w:val="22"/>
          <w:szCs w:val="22"/>
          <w:lang w:val="en-US"/>
        </w:rPr>
        <w:t xml:space="preserve"> Samruk-Energy consists of </w:t>
      </w:r>
      <w:r w:rsidR="00A372D9" w:rsidRPr="00A372D9">
        <w:rPr>
          <w:sz w:val="22"/>
          <w:szCs w:val="22"/>
          <w:lang w:val="en-US"/>
        </w:rPr>
        <w:t>33</w:t>
      </w:r>
      <w:r w:rsidRPr="0077532A">
        <w:rPr>
          <w:sz w:val="22"/>
          <w:szCs w:val="22"/>
          <w:lang w:val="en-US"/>
        </w:rPr>
        <w:t xml:space="preserve"> companies on </w:t>
      </w:r>
      <w:r w:rsidR="00A372D9" w:rsidRPr="00A372D9">
        <w:rPr>
          <w:sz w:val="22"/>
          <w:szCs w:val="22"/>
          <w:lang w:val="en-US"/>
        </w:rPr>
        <w:t>4</w:t>
      </w:r>
      <w:r w:rsidRPr="0077532A">
        <w:rPr>
          <w:sz w:val="22"/>
          <w:szCs w:val="22"/>
          <w:lang w:val="en-US"/>
        </w:rPr>
        <w:t xml:space="preserve"> levels</w:t>
      </w:r>
      <w:r w:rsidR="00A42A13">
        <w:rPr>
          <w:sz w:val="22"/>
          <w:szCs w:val="22"/>
          <w:lang w:val="en-US"/>
        </w:rPr>
        <w:t xml:space="preserve">, </w:t>
      </w:r>
      <w:r w:rsidR="00A372D9" w:rsidRPr="00C7468E">
        <w:rPr>
          <w:sz w:val="22"/>
          <w:szCs w:val="22"/>
          <w:lang w:val="en-US"/>
        </w:rPr>
        <w:t>4</w:t>
      </w:r>
      <w:r w:rsidR="00A42A13">
        <w:rPr>
          <w:sz w:val="22"/>
          <w:szCs w:val="22"/>
          <w:lang w:val="en-US"/>
        </w:rPr>
        <w:t xml:space="preserve"> of which are under liquidation</w:t>
      </w:r>
      <w:r w:rsidRPr="0077532A">
        <w:rPr>
          <w:sz w:val="22"/>
          <w:szCs w:val="22"/>
          <w:lang w:val="en-US"/>
        </w:rPr>
        <w:t>.</w:t>
      </w:r>
      <w:r w:rsidR="00A42A13" w:rsidRPr="00A42A13">
        <w:rPr>
          <w:lang w:val="en-US"/>
        </w:rPr>
        <w:t xml:space="preserve"> </w:t>
      </w:r>
      <w:r w:rsidR="00A42A13" w:rsidRPr="00A42A13">
        <w:rPr>
          <w:sz w:val="22"/>
          <w:szCs w:val="22"/>
          <w:lang w:val="en-US"/>
        </w:rPr>
        <w:t xml:space="preserve">During the period </w:t>
      </w:r>
      <w:r w:rsidR="00A42A13">
        <w:rPr>
          <w:sz w:val="22"/>
          <w:szCs w:val="22"/>
          <w:lang w:val="en-US"/>
        </w:rPr>
        <w:t>“E</w:t>
      </w:r>
      <w:r w:rsidR="00A42A13" w:rsidRPr="00A42A13">
        <w:rPr>
          <w:sz w:val="22"/>
          <w:szCs w:val="22"/>
          <w:lang w:val="en-US"/>
        </w:rPr>
        <w:t>K REC</w:t>
      </w:r>
      <w:r w:rsidR="00A42A13">
        <w:rPr>
          <w:sz w:val="22"/>
          <w:szCs w:val="22"/>
          <w:lang w:val="en-US"/>
        </w:rPr>
        <w:t>” JSC was transferred</w:t>
      </w:r>
      <w:r w:rsidR="00A42A13" w:rsidRPr="00A42A13">
        <w:rPr>
          <w:sz w:val="22"/>
          <w:szCs w:val="22"/>
          <w:lang w:val="en-US"/>
        </w:rPr>
        <w:t xml:space="preserve"> in trust</w:t>
      </w:r>
      <w:r w:rsidR="00A42A13">
        <w:rPr>
          <w:sz w:val="22"/>
          <w:szCs w:val="22"/>
          <w:lang w:val="en-US"/>
        </w:rPr>
        <w:t xml:space="preserve"> managem</w:t>
      </w:r>
      <w:r w:rsidR="00E54C3F">
        <w:rPr>
          <w:sz w:val="22"/>
          <w:szCs w:val="22"/>
          <w:lang w:val="en-US"/>
        </w:rPr>
        <w:t>ent of</w:t>
      </w:r>
      <w:r w:rsidR="00A42A13" w:rsidRPr="00A42A13">
        <w:rPr>
          <w:sz w:val="22"/>
          <w:szCs w:val="22"/>
          <w:lang w:val="en-US"/>
        </w:rPr>
        <w:t xml:space="preserve"> </w:t>
      </w:r>
      <w:r w:rsidR="00E54C3F">
        <w:rPr>
          <w:sz w:val="22"/>
          <w:szCs w:val="22"/>
          <w:lang w:val="en-US"/>
        </w:rPr>
        <w:t>“</w:t>
      </w:r>
      <w:proofErr w:type="spellStart"/>
      <w:r w:rsidR="00E54C3F">
        <w:rPr>
          <w:sz w:val="22"/>
          <w:szCs w:val="22"/>
          <w:lang w:val="en-US"/>
        </w:rPr>
        <w:t>Samruk</w:t>
      </w:r>
      <w:proofErr w:type="spellEnd"/>
      <w:r w:rsidR="00E54C3F">
        <w:rPr>
          <w:sz w:val="22"/>
          <w:szCs w:val="22"/>
          <w:lang w:val="en-US"/>
        </w:rPr>
        <w:t xml:space="preserve">-Energy” JSC, </w:t>
      </w:r>
      <w:r w:rsidR="00A42A13" w:rsidRPr="00A42A13">
        <w:rPr>
          <w:sz w:val="22"/>
          <w:szCs w:val="22"/>
          <w:lang w:val="en-US"/>
        </w:rPr>
        <w:t xml:space="preserve">including </w:t>
      </w:r>
      <w:r w:rsidR="00E54C3F">
        <w:rPr>
          <w:sz w:val="22"/>
          <w:szCs w:val="22"/>
          <w:lang w:val="en-US"/>
        </w:rPr>
        <w:t>“</w:t>
      </w:r>
      <w:proofErr w:type="spellStart"/>
      <w:r w:rsidR="00E54C3F">
        <w:rPr>
          <w:sz w:val="22"/>
          <w:szCs w:val="22"/>
          <w:lang w:val="en-US"/>
        </w:rPr>
        <w:t>Shygysenergotrade</w:t>
      </w:r>
      <w:proofErr w:type="spellEnd"/>
      <w:r w:rsidR="00E54C3F">
        <w:rPr>
          <w:sz w:val="22"/>
          <w:szCs w:val="22"/>
          <w:lang w:val="en-US"/>
        </w:rPr>
        <w:t>”</w:t>
      </w:r>
      <w:r w:rsidR="00A42A13" w:rsidRPr="00A42A13">
        <w:rPr>
          <w:sz w:val="22"/>
          <w:szCs w:val="22"/>
          <w:lang w:val="en-US"/>
        </w:rPr>
        <w:t xml:space="preserve"> </w:t>
      </w:r>
      <w:r w:rsidR="00E54C3F" w:rsidRPr="00A42A13">
        <w:rPr>
          <w:sz w:val="22"/>
          <w:szCs w:val="22"/>
          <w:lang w:val="en-US"/>
        </w:rPr>
        <w:t xml:space="preserve">LLP </w:t>
      </w:r>
      <w:r w:rsidR="00A42A13" w:rsidRPr="00A42A13">
        <w:rPr>
          <w:sz w:val="22"/>
          <w:szCs w:val="22"/>
          <w:lang w:val="en-US"/>
        </w:rPr>
        <w:t xml:space="preserve">as indirect </w:t>
      </w:r>
      <w:r w:rsidR="00E54C3F">
        <w:rPr>
          <w:sz w:val="22"/>
          <w:szCs w:val="22"/>
          <w:lang w:val="en-US"/>
        </w:rPr>
        <w:t>management</w:t>
      </w:r>
      <w:r w:rsidR="00A42A13" w:rsidRPr="00A42A13">
        <w:rPr>
          <w:sz w:val="22"/>
          <w:szCs w:val="22"/>
          <w:lang w:val="en-US"/>
        </w:rPr>
        <w:t xml:space="preserve"> through </w:t>
      </w:r>
      <w:r w:rsidR="00E54C3F">
        <w:rPr>
          <w:sz w:val="22"/>
          <w:szCs w:val="22"/>
          <w:lang w:val="en-US"/>
        </w:rPr>
        <w:t>“</w:t>
      </w:r>
      <w:r w:rsidR="00A42A13" w:rsidRPr="00A42A13">
        <w:rPr>
          <w:sz w:val="22"/>
          <w:szCs w:val="22"/>
          <w:lang w:val="en-US"/>
        </w:rPr>
        <w:t>EK REC</w:t>
      </w:r>
      <w:r w:rsidR="00E54C3F">
        <w:rPr>
          <w:sz w:val="22"/>
          <w:szCs w:val="22"/>
          <w:lang w:val="en-US"/>
        </w:rPr>
        <w:t>”</w:t>
      </w:r>
      <w:r w:rsidR="00E54C3F" w:rsidRPr="00E54C3F">
        <w:rPr>
          <w:sz w:val="22"/>
          <w:szCs w:val="22"/>
          <w:lang w:val="en-US"/>
        </w:rPr>
        <w:t xml:space="preserve"> </w:t>
      </w:r>
      <w:r w:rsidR="00E54C3F" w:rsidRPr="00A42A13">
        <w:rPr>
          <w:sz w:val="22"/>
          <w:szCs w:val="22"/>
          <w:lang w:val="en-US"/>
        </w:rPr>
        <w:t>JSC</w:t>
      </w:r>
      <w:r w:rsidR="00E54C3F">
        <w:rPr>
          <w:sz w:val="22"/>
          <w:szCs w:val="22"/>
          <w:lang w:val="en-US"/>
        </w:rPr>
        <w:t>.</w:t>
      </w:r>
    </w:p>
    <w:p w:rsidR="002664E4" w:rsidRPr="007C6D63" w:rsidRDefault="00A614DF" w:rsidP="002664E4">
      <w:pPr>
        <w:tabs>
          <w:tab w:val="left" w:pos="426"/>
          <w:tab w:val="left" w:pos="993"/>
        </w:tabs>
        <w:autoSpaceDE w:val="0"/>
        <w:autoSpaceDN w:val="0"/>
        <w:adjustRightInd w:val="0"/>
        <w:ind w:left="-567" w:firstLine="567"/>
        <w:jc w:val="both"/>
        <w:rPr>
          <w:sz w:val="22"/>
          <w:szCs w:val="22"/>
          <w:lang w:val="en-US"/>
        </w:rPr>
      </w:pPr>
      <w:r>
        <w:rPr>
          <w:bCs/>
          <w:sz w:val="22"/>
          <w:szCs w:val="22"/>
          <w:lang w:val="en-US"/>
        </w:rPr>
        <w:t>We note the</w:t>
      </w:r>
      <w:r w:rsidR="002664E4">
        <w:rPr>
          <w:bCs/>
          <w:sz w:val="22"/>
          <w:szCs w:val="22"/>
          <w:lang w:val="en-US"/>
        </w:rPr>
        <w:t xml:space="preserve"> </w:t>
      </w:r>
      <w:r w:rsidR="002664E4" w:rsidRPr="0077532A">
        <w:rPr>
          <w:bCs/>
          <w:sz w:val="22"/>
          <w:szCs w:val="22"/>
          <w:lang w:val="en-US"/>
        </w:rPr>
        <w:t>following</w:t>
      </w:r>
      <w:r w:rsidR="002664E4" w:rsidRPr="0077532A">
        <w:rPr>
          <w:color w:val="000000"/>
          <w:sz w:val="22"/>
          <w:szCs w:val="22"/>
          <w:lang w:val="en-US"/>
        </w:rPr>
        <w:t xml:space="preserve"> </w:t>
      </w:r>
      <w:r w:rsidR="002664E4" w:rsidRPr="007C6D63">
        <w:rPr>
          <w:b/>
          <w:color w:val="000000"/>
          <w:sz w:val="22"/>
          <w:szCs w:val="22"/>
          <w:lang w:val="en-US"/>
        </w:rPr>
        <w:t>significant events</w:t>
      </w:r>
      <w:r w:rsidR="002664E4" w:rsidRPr="007C6D63">
        <w:rPr>
          <w:sz w:val="22"/>
          <w:szCs w:val="22"/>
          <w:lang w:val="en-US"/>
        </w:rPr>
        <w:t xml:space="preserve">:  </w:t>
      </w:r>
    </w:p>
    <w:p w:rsidR="00A614DF" w:rsidRPr="00A614DF" w:rsidRDefault="00A614DF" w:rsidP="00627857">
      <w:pPr>
        <w:tabs>
          <w:tab w:val="left" w:pos="284"/>
          <w:tab w:val="left" w:pos="993"/>
        </w:tabs>
        <w:autoSpaceDE w:val="0"/>
        <w:autoSpaceDN w:val="0"/>
        <w:adjustRightInd w:val="0"/>
        <w:ind w:left="-567" w:firstLine="567"/>
        <w:jc w:val="both"/>
        <w:rPr>
          <w:sz w:val="22"/>
          <w:szCs w:val="22"/>
          <w:lang w:val="en-US"/>
        </w:rPr>
      </w:pPr>
      <w:r w:rsidRPr="00A614DF">
        <w:rPr>
          <w:sz w:val="22"/>
          <w:szCs w:val="22"/>
          <w:lang w:val="en-US"/>
        </w:rPr>
        <w:t xml:space="preserve">1) </w:t>
      </w:r>
      <w:proofErr w:type="gramStart"/>
      <w:r w:rsidRPr="00A614DF">
        <w:rPr>
          <w:sz w:val="22"/>
          <w:szCs w:val="22"/>
          <w:lang w:val="en-US"/>
        </w:rPr>
        <w:t>in</w:t>
      </w:r>
      <w:proofErr w:type="gramEnd"/>
      <w:r w:rsidRPr="00A614DF">
        <w:rPr>
          <w:sz w:val="22"/>
          <w:szCs w:val="22"/>
          <w:lang w:val="en-US"/>
        </w:rPr>
        <w:t xml:space="preserve"> Seoul, President and CEO of Samsung C &amp; T Corporation Shin Kim, </w:t>
      </w:r>
      <w:r w:rsidR="00F77A26">
        <w:rPr>
          <w:sz w:val="22"/>
          <w:szCs w:val="22"/>
          <w:lang w:val="en-US"/>
        </w:rPr>
        <w:t>CEO of “</w:t>
      </w:r>
      <w:r w:rsidRPr="00A614DF">
        <w:rPr>
          <w:sz w:val="22"/>
          <w:szCs w:val="22"/>
          <w:lang w:val="en-US"/>
        </w:rPr>
        <w:t>Samruk-Energ</w:t>
      </w:r>
      <w:r w:rsidR="00F77A26">
        <w:rPr>
          <w:sz w:val="22"/>
          <w:szCs w:val="22"/>
          <w:lang w:val="en-US"/>
        </w:rPr>
        <w:t>y” JSC</w:t>
      </w:r>
      <w:r w:rsidRPr="00A614DF">
        <w:rPr>
          <w:sz w:val="22"/>
          <w:szCs w:val="22"/>
          <w:lang w:val="en-US"/>
        </w:rPr>
        <w:t xml:space="preserve"> signed </w:t>
      </w:r>
      <w:r w:rsidR="00F77A26">
        <w:rPr>
          <w:sz w:val="22"/>
          <w:szCs w:val="22"/>
          <w:lang w:val="en-US"/>
        </w:rPr>
        <w:t>“</w:t>
      </w:r>
      <w:r w:rsidRPr="00A614DF">
        <w:rPr>
          <w:sz w:val="22"/>
          <w:szCs w:val="22"/>
          <w:lang w:val="en-US"/>
        </w:rPr>
        <w:t>Agreement for the sale of</w:t>
      </w:r>
      <w:r w:rsidR="00F77A26">
        <w:rPr>
          <w:sz w:val="22"/>
          <w:szCs w:val="22"/>
          <w:lang w:val="en-US"/>
        </w:rPr>
        <w:t xml:space="preserve"> shares of</w:t>
      </w:r>
      <w:r w:rsidRPr="00A614DF">
        <w:rPr>
          <w:sz w:val="22"/>
          <w:szCs w:val="22"/>
          <w:lang w:val="en-US"/>
        </w:rPr>
        <w:t xml:space="preserve"> </w:t>
      </w:r>
      <w:r w:rsidR="00F77A26">
        <w:rPr>
          <w:sz w:val="22"/>
          <w:szCs w:val="22"/>
          <w:lang w:val="en-US"/>
        </w:rPr>
        <w:t>“</w:t>
      </w:r>
      <w:r w:rsidRPr="00A614DF">
        <w:rPr>
          <w:sz w:val="22"/>
          <w:szCs w:val="22"/>
          <w:lang w:val="en-US"/>
        </w:rPr>
        <w:t>Balkhash Thermal Power Plant</w:t>
      </w:r>
      <w:r w:rsidR="00F77A26">
        <w:rPr>
          <w:sz w:val="22"/>
          <w:szCs w:val="22"/>
          <w:lang w:val="en-US"/>
        </w:rPr>
        <w:t xml:space="preserve">” JSC </w:t>
      </w:r>
      <w:r w:rsidRPr="00A614DF">
        <w:rPr>
          <w:sz w:val="22"/>
          <w:szCs w:val="22"/>
          <w:lang w:val="en-US"/>
        </w:rPr>
        <w:t>in the framework of the investment project - the construction of the Balkhash thermal power station</w:t>
      </w:r>
      <w:r w:rsidR="00F77A26">
        <w:rPr>
          <w:sz w:val="22"/>
          <w:szCs w:val="22"/>
          <w:lang w:val="en-US"/>
        </w:rPr>
        <w:t>”.</w:t>
      </w:r>
      <w:r w:rsidRPr="00A614DF">
        <w:rPr>
          <w:sz w:val="22"/>
          <w:szCs w:val="22"/>
          <w:lang w:val="en-US"/>
        </w:rPr>
        <w:t xml:space="preserve"> In addition, a Memorandum of Understanding </w:t>
      </w:r>
      <w:r w:rsidR="00F77A26">
        <w:rPr>
          <w:sz w:val="22"/>
          <w:szCs w:val="22"/>
          <w:lang w:val="en-US"/>
        </w:rPr>
        <w:t>was signed</w:t>
      </w:r>
      <w:r w:rsidR="00F77A26" w:rsidRPr="00A614DF">
        <w:rPr>
          <w:sz w:val="22"/>
          <w:szCs w:val="22"/>
          <w:lang w:val="en-US"/>
        </w:rPr>
        <w:t xml:space="preserve"> </w:t>
      </w:r>
      <w:r w:rsidRPr="00A614DF">
        <w:rPr>
          <w:sz w:val="22"/>
          <w:szCs w:val="22"/>
          <w:lang w:val="en-US"/>
        </w:rPr>
        <w:t xml:space="preserve">between </w:t>
      </w:r>
      <w:r w:rsidR="00F77A26">
        <w:rPr>
          <w:sz w:val="22"/>
          <w:szCs w:val="22"/>
          <w:lang w:val="en-US"/>
        </w:rPr>
        <w:t xml:space="preserve">“Samruk-Energy” </w:t>
      </w:r>
      <w:r w:rsidR="00F77A26" w:rsidRPr="00A614DF">
        <w:rPr>
          <w:sz w:val="22"/>
          <w:szCs w:val="22"/>
          <w:lang w:val="en-US"/>
        </w:rPr>
        <w:t xml:space="preserve">JSC </w:t>
      </w:r>
      <w:r w:rsidRPr="00A614DF">
        <w:rPr>
          <w:sz w:val="22"/>
          <w:szCs w:val="22"/>
          <w:lang w:val="en-US"/>
        </w:rPr>
        <w:t xml:space="preserve">and Hyundai </w:t>
      </w:r>
      <w:r w:rsidR="00F77A26" w:rsidRPr="00A614DF">
        <w:rPr>
          <w:sz w:val="22"/>
          <w:szCs w:val="22"/>
          <w:lang w:val="en-US"/>
        </w:rPr>
        <w:t>Corporation</w:t>
      </w:r>
      <w:r w:rsidRPr="00A614DF">
        <w:rPr>
          <w:sz w:val="22"/>
          <w:szCs w:val="22"/>
          <w:lang w:val="en-US"/>
        </w:rPr>
        <w:t>;</w:t>
      </w:r>
    </w:p>
    <w:p w:rsidR="00A614DF" w:rsidRPr="00A614DF" w:rsidRDefault="00A614DF" w:rsidP="00627857">
      <w:pPr>
        <w:tabs>
          <w:tab w:val="left" w:pos="284"/>
          <w:tab w:val="left" w:pos="993"/>
        </w:tabs>
        <w:autoSpaceDE w:val="0"/>
        <w:autoSpaceDN w:val="0"/>
        <w:adjustRightInd w:val="0"/>
        <w:ind w:left="-567" w:firstLine="567"/>
        <w:jc w:val="both"/>
        <w:rPr>
          <w:sz w:val="22"/>
          <w:szCs w:val="22"/>
          <w:lang w:val="en-US"/>
        </w:rPr>
      </w:pPr>
      <w:r w:rsidRPr="00A614DF">
        <w:rPr>
          <w:sz w:val="22"/>
          <w:szCs w:val="22"/>
          <w:lang w:val="en-US"/>
        </w:rPr>
        <w:t xml:space="preserve">2) </w:t>
      </w:r>
      <w:proofErr w:type="gramStart"/>
      <w:r w:rsidRPr="00A614DF">
        <w:rPr>
          <w:sz w:val="22"/>
          <w:szCs w:val="22"/>
          <w:lang w:val="en-US"/>
        </w:rPr>
        <w:t>the</w:t>
      </w:r>
      <w:proofErr w:type="gramEnd"/>
      <w:r w:rsidRPr="00A614DF">
        <w:rPr>
          <w:sz w:val="22"/>
          <w:szCs w:val="22"/>
          <w:lang w:val="en-US"/>
        </w:rPr>
        <w:t xml:space="preserve"> sale of </w:t>
      </w:r>
      <w:r w:rsidR="00F77A26">
        <w:rPr>
          <w:sz w:val="22"/>
          <w:szCs w:val="22"/>
          <w:lang w:val="en-US"/>
        </w:rPr>
        <w:t>shares of “</w:t>
      </w:r>
      <w:r w:rsidR="00F77A26" w:rsidRPr="00A614DF">
        <w:rPr>
          <w:sz w:val="22"/>
          <w:szCs w:val="22"/>
          <w:lang w:val="en-US"/>
        </w:rPr>
        <w:t>Balkhash Thermal Power Plant</w:t>
      </w:r>
      <w:r w:rsidR="00F77A26">
        <w:rPr>
          <w:sz w:val="22"/>
          <w:szCs w:val="22"/>
          <w:lang w:val="en-US"/>
        </w:rPr>
        <w:t>” JSC to</w:t>
      </w:r>
      <w:r w:rsidRPr="00A614DF">
        <w:rPr>
          <w:sz w:val="22"/>
          <w:szCs w:val="22"/>
          <w:lang w:val="en-US"/>
        </w:rPr>
        <w:t xml:space="preserve"> Samsung C &amp; T Corporation </w:t>
      </w:r>
      <w:r w:rsidR="00F77A26">
        <w:rPr>
          <w:sz w:val="22"/>
          <w:szCs w:val="22"/>
          <w:lang w:val="en-US"/>
        </w:rPr>
        <w:t xml:space="preserve">was completed </w:t>
      </w:r>
      <w:r w:rsidRPr="00A614DF">
        <w:rPr>
          <w:sz w:val="22"/>
          <w:szCs w:val="22"/>
          <w:lang w:val="en-US"/>
        </w:rPr>
        <w:t xml:space="preserve">in the amount </w:t>
      </w:r>
      <w:r w:rsidR="00F77A26">
        <w:rPr>
          <w:sz w:val="22"/>
          <w:szCs w:val="22"/>
          <w:lang w:val="en-US"/>
        </w:rPr>
        <w:t>of 755.7 thousand shares of 75%</w:t>
      </w:r>
      <w:r w:rsidRPr="00A614DF">
        <w:rPr>
          <w:sz w:val="22"/>
          <w:szCs w:val="22"/>
          <w:lang w:val="en-US"/>
        </w:rPr>
        <w:t xml:space="preserve">-1 share </w:t>
      </w:r>
      <w:r w:rsidR="00F77A26">
        <w:rPr>
          <w:sz w:val="22"/>
          <w:szCs w:val="22"/>
          <w:lang w:val="en-US"/>
        </w:rPr>
        <w:t xml:space="preserve">of the authorized </w:t>
      </w:r>
      <w:r w:rsidRPr="00A614DF">
        <w:rPr>
          <w:sz w:val="22"/>
          <w:szCs w:val="22"/>
          <w:lang w:val="en-US"/>
        </w:rPr>
        <w:t xml:space="preserve">capital. The total cost of the alienation of shares </w:t>
      </w:r>
      <w:r w:rsidR="00F77A26">
        <w:rPr>
          <w:sz w:val="22"/>
          <w:szCs w:val="22"/>
          <w:lang w:val="en-US"/>
        </w:rPr>
        <w:t>amounted to KZT</w:t>
      </w:r>
      <w:r w:rsidRPr="00A614DF">
        <w:rPr>
          <w:sz w:val="22"/>
          <w:szCs w:val="22"/>
          <w:lang w:val="en-US"/>
        </w:rPr>
        <w:t xml:space="preserve"> 7.</w:t>
      </w:r>
      <w:r w:rsidR="00825FCA" w:rsidRPr="00825FCA">
        <w:rPr>
          <w:sz w:val="22"/>
          <w:szCs w:val="22"/>
          <w:lang w:val="en-US"/>
        </w:rPr>
        <w:t>6</w:t>
      </w:r>
      <w:r w:rsidRPr="00A614DF">
        <w:rPr>
          <w:sz w:val="22"/>
          <w:szCs w:val="22"/>
          <w:lang w:val="en-US"/>
        </w:rPr>
        <w:t xml:space="preserve"> billion;</w:t>
      </w:r>
    </w:p>
    <w:p w:rsidR="00A614DF" w:rsidRPr="00A614DF" w:rsidRDefault="00F77A26" w:rsidP="00627857">
      <w:pPr>
        <w:tabs>
          <w:tab w:val="left" w:pos="284"/>
          <w:tab w:val="left" w:pos="993"/>
        </w:tabs>
        <w:autoSpaceDE w:val="0"/>
        <w:autoSpaceDN w:val="0"/>
        <w:adjustRightInd w:val="0"/>
        <w:ind w:left="-567" w:firstLine="567"/>
        <w:jc w:val="both"/>
        <w:rPr>
          <w:sz w:val="22"/>
          <w:szCs w:val="22"/>
          <w:lang w:val="en-US"/>
        </w:rPr>
      </w:pPr>
      <w:r>
        <w:rPr>
          <w:sz w:val="22"/>
          <w:szCs w:val="22"/>
          <w:lang w:val="en-US"/>
        </w:rPr>
        <w:t>3) Memorandum “On c</w:t>
      </w:r>
      <w:r w:rsidR="00A614DF" w:rsidRPr="00A614DF">
        <w:rPr>
          <w:sz w:val="22"/>
          <w:szCs w:val="22"/>
          <w:lang w:val="en-US"/>
        </w:rPr>
        <w:t xml:space="preserve">ooperation between </w:t>
      </w:r>
      <w:r>
        <w:rPr>
          <w:sz w:val="22"/>
          <w:szCs w:val="22"/>
          <w:lang w:val="en-US"/>
        </w:rPr>
        <w:t>“</w:t>
      </w:r>
      <w:proofErr w:type="spellStart"/>
      <w:r>
        <w:rPr>
          <w:sz w:val="22"/>
          <w:szCs w:val="22"/>
          <w:lang w:val="en-US"/>
        </w:rPr>
        <w:t>Samruk</w:t>
      </w:r>
      <w:proofErr w:type="spellEnd"/>
      <w:r>
        <w:rPr>
          <w:sz w:val="22"/>
          <w:szCs w:val="22"/>
          <w:lang w:val="en-US"/>
        </w:rPr>
        <w:t>-Energy”</w:t>
      </w:r>
      <w:r w:rsidR="00A614DF" w:rsidRPr="00A614DF">
        <w:rPr>
          <w:sz w:val="22"/>
          <w:szCs w:val="22"/>
          <w:lang w:val="en-US"/>
        </w:rPr>
        <w:t xml:space="preserve"> </w:t>
      </w:r>
      <w:r w:rsidRPr="00A614DF">
        <w:rPr>
          <w:sz w:val="22"/>
          <w:szCs w:val="22"/>
          <w:lang w:val="en-US"/>
        </w:rPr>
        <w:t xml:space="preserve">JSC </w:t>
      </w:r>
      <w:r w:rsidR="00A614DF" w:rsidRPr="00A614DF">
        <w:rPr>
          <w:sz w:val="22"/>
          <w:szCs w:val="22"/>
          <w:lang w:val="en-US"/>
        </w:rPr>
        <w:t xml:space="preserve">and </w:t>
      </w:r>
      <w:proofErr w:type="spellStart"/>
      <w:r w:rsidR="00A614DF" w:rsidRPr="00A614DF">
        <w:rPr>
          <w:sz w:val="22"/>
          <w:szCs w:val="22"/>
          <w:lang w:val="en-US"/>
        </w:rPr>
        <w:t>Akim</w:t>
      </w:r>
      <w:r>
        <w:rPr>
          <w:sz w:val="22"/>
          <w:szCs w:val="22"/>
          <w:lang w:val="en-US"/>
        </w:rPr>
        <w:t>at</w:t>
      </w:r>
      <w:proofErr w:type="spellEnd"/>
      <w:r w:rsidR="00A614DF" w:rsidRPr="00A614DF">
        <w:rPr>
          <w:sz w:val="22"/>
          <w:szCs w:val="22"/>
          <w:lang w:val="en-US"/>
        </w:rPr>
        <w:t xml:space="preserve"> </w:t>
      </w:r>
      <w:r>
        <w:rPr>
          <w:sz w:val="22"/>
          <w:szCs w:val="22"/>
          <w:lang w:val="en-US"/>
        </w:rPr>
        <w:t xml:space="preserve">of Almaty region on the project </w:t>
      </w:r>
      <w:r w:rsidR="00A614DF" w:rsidRPr="00A614DF">
        <w:rPr>
          <w:sz w:val="22"/>
          <w:szCs w:val="22"/>
          <w:lang w:val="en-US"/>
        </w:rPr>
        <w:t xml:space="preserve"> </w:t>
      </w:r>
      <w:r>
        <w:rPr>
          <w:sz w:val="22"/>
          <w:szCs w:val="22"/>
          <w:lang w:val="en-US"/>
        </w:rPr>
        <w:t>“</w:t>
      </w:r>
      <w:r w:rsidR="00A614DF" w:rsidRPr="00A614DF">
        <w:rPr>
          <w:sz w:val="22"/>
          <w:szCs w:val="22"/>
          <w:lang w:val="en-US"/>
        </w:rPr>
        <w:t>Construction of a wind power plant (WPP)</w:t>
      </w:r>
      <w:r>
        <w:rPr>
          <w:sz w:val="22"/>
          <w:szCs w:val="22"/>
          <w:lang w:val="en-US"/>
        </w:rPr>
        <w:t xml:space="preserve"> of </w:t>
      </w:r>
      <w:r w:rsidR="00A614DF" w:rsidRPr="00A614DF">
        <w:rPr>
          <w:sz w:val="22"/>
          <w:szCs w:val="22"/>
          <w:lang w:val="en-US"/>
        </w:rPr>
        <w:t xml:space="preserve">capacity from 60MW to 300 MW in </w:t>
      </w:r>
      <w:proofErr w:type="spellStart"/>
      <w:r w:rsidR="00A614DF" w:rsidRPr="00A614DF">
        <w:rPr>
          <w:sz w:val="22"/>
          <w:szCs w:val="22"/>
          <w:lang w:val="en-US"/>
        </w:rPr>
        <w:t>Shelek</w:t>
      </w:r>
      <w:proofErr w:type="spellEnd"/>
      <w:r w:rsidR="00A614DF" w:rsidRPr="00A614DF">
        <w:rPr>
          <w:sz w:val="22"/>
          <w:szCs w:val="22"/>
          <w:lang w:val="en-US"/>
        </w:rPr>
        <w:t xml:space="preserve"> corridor </w:t>
      </w:r>
      <w:r>
        <w:rPr>
          <w:sz w:val="22"/>
          <w:szCs w:val="22"/>
          <w:lang w:val="en-US"/>
        </w:rPr>
        <w:t xml:space="preserve">of </w:t>
      </w:r>
      <w:proofErr w:type="spellStart"/>
      <w:r w:rsidR="00A614DF" w:rsidRPr="00A614DF">
        <w:rPr>
          <w:sz w:val="22"/>
          <w:szCs w:val="22"/>
          <w:lang w:val="en-US"/>
        </w:rPr>
        <w:t>Enbekshikazakh</w:t>
      </w:r>
      <w:proofErr w:type="spellEnd"/>
      <w:r w:rsidR="00A614DF" w:rsidRPr="00A614DF">
        <w:rPr>
          <w:sz w:val="22"/>
          <w:szCs w:val="22"/>
          <w:lang w:val="en-US"/>
        </w:rPr>
        <w:t xml:space="preserve"> district of Almaty region</w:t>
      </w:r>
      <w:r>
        <w:rPr>
          <w:sz w:val="22"/>
          <w:szCs w:val="22"/>
          <w:lang w:val="en-US"/>
        </w:rPr>
        <w:t>” was signed</w:t>
      </w:r>
      <w:r w:rsidR="00A614DF" w:rsidRPr="00A614DF">
        <w:rPr>
          <w:sz w:val="22"/>
          <w:szCs w:val="22"/>
          <w:lang w:val="en-US"/>
        </w:rPr>
        <w:t>;</w:t>
      </w:r>
    </w:p>
    <w:p w:rsidR="00F77A26" w:rsidRDefault="00A614DF" w:rsidP="00627857">
      <w:pPr>
        <w:tabs>
          <w:tab w:val="left" w:pos="284"/>
          <w:tab w:val="left" w:pos="993"/>
        </w:tabs>
        <w:autoSpaceDE w:val="0"/>
        <w:autoSpaceDN w:val="0"/>
        <w:adjustRightInd w:val="0"/>
        <w:ind w:left="-567" w:firstLine="567"/>
        <w:jc w:val="both"/>
        <w:rPr>
          <w:sz w:val="22"/>
          <w:szCs w:val="22"/>
          <w:lang w:val="en-US"/>
        </w:rPr>
      </w:pPr>
      <w:r w:rsidRPr="00A614DF">
        <w:rPr>
          <w:sz w:val="22"/>
          <w:szCs w:val="22"/>
          <w:lang w:val="en-US"/>
        </w:rPr>
        <w:t xml:space="preserve">4) </w:t>
      </w:r>
      <w:proofErr w:type="gramStart"/>
      <w:r w:rsidRPr="00A614DF">
        <w:rPr>
          <w:sz w:val="22"/>
          <w:szCs w:val="22"/>
          <w:lang w:val="en-US"/>
        </w:rPr>
        <w:t>contract</w:t>
      </w:r>
      <w:proofErr w:type="gramEnd"/>
      <w:r w:rsidRPr="00A614DF">
        <w:rPr>
          <w:sz w:val="22"/>
          <w:szCs w:val="22"/>
          <w:lang w:val="en-US"/>
        </w:rPr>
        <w:t xml:space="preserve"> </w:t>
      </w:r>
      <w:r w:rsidR="00F77A26">
        <w:rPr>
          <w:sz w:val="22"/>
          <w:szCs w:val="22"/>
          <w:lang w:val="en-US"/>
        </w:rPr>
        <w:t>between</w:t>
      </w:r>
      <w:r w:rsidRPr="00A614DF">
        <w:rPr>
          <w:sz w:val="22"/>
          <w:szCs w:val="22"/>
          <w:lang w:val="en-US"/>
        </w:rPr>
        <w:t xml:space="preserve"> </w:t>
      </w:r>
      <w:r w:rsidR="00F77A26">
        <w:rPr>
          <w:sz w:val="22"/>
          <w:szCs w:val="22"/>
          <w:lang w:val="en-US"/>
        </w:rPr>
        <w:t>“</w:t>
      </w:r>
      <w:r w:rsidRPr="00A614DF">
        <w:rPr>
          <w:sz w:val="22"/>
          <w:szCs w:val="22"/>
          <w:lang w:val="en-US"/>
        </w:rPr>
        <w:t>Balkhash Thermal Power Plant</w:t>
      </w:r>
      <w:r w:rsidR="00F77A26">
        <w:rPr>
          <w:sz w:val="22"/>
          <w:szCs w:val="22"/>
          <w:lang w:val="en-US"/>
        </w:rPr>
        <w:t>”</w:t>
      </w:r>
      <w:r w:rsidR="00F77A26" w:rsidRPr="00F77A26">
        <w:rPr>
          <w:sz w:val="22"/>
          <w:szCs w:val="22"/>
          <w:lang w:val="en-US"/>
        </w:rPr>
        <w:t xml:space="preserve"> </w:t>
      </w:r>
      <w:r w:rsidR="00F77A26" w:rsidRPr="00A614DF">
        <w:rPr>
          <w:sz w:val="22"/>
          <w:szCs w:val="22"/>
          <w:lang w:val="en-US"/>
        </w:rPr>
        <w:t>JSC</w:t>
      </w:r>
      <w:r w:rsidRPr="00A614DF">
        <w:rPr>
          <w:sz w:val="22"/>
          <w:szCs w:val="22"/>
          <w:lang w:val="en-US"/>
        </w:rPr>
        <w:t xml:space="preserve"> and Samsung Engineering Company Limited </w:t>
      </w:r>
      <w:r w:rsidR="00F77A26">
        <w:rPr>
          <w:sz w:val="22"/>
          <w:szCs w:val="22"/>
          <w:lang w:val="en-US"/>
        </w:rPr>
        <w:t xml:space="preserve">was signed </w:t>
      </w:r>
      <w:r w:rsidRPr="00A614DF">
        <w:rPr>
          <w:sz w:val="22"/>
          <w:szCs w:val="22"/>
          <w:lang w:val="en-US"/>
        </w:rPr>
        <w:t xml:space="preserve">for the construction of </w:t>
      </w:r>
      <w:r w:rsidR="00F77A26" w:rsidRPr="00A614DF">
        <w:rPr>
          <w:sz w:val="22"/>
          <w:szCs w:val="22"/>
          <w:lang w:val="en-US"/>
        </w:rPr>
        <w:t xml:space="preserve">the </w:t>
      </w:r>
      <w:r w:rsidR="00F77A26">
        <w:rPr>
          <w:sz w:val="22"/>
          <w:szCs w:val="22"/>
          <w:lang w:val="en-US"/>
        </w:rPr>
        <w:t>“</w:t>
      </w:r>
      <w:r w:rsidRPr="00A614DF">
        <w:rPr>
          <w:sz w:val="22"/>
          <w:szCs w:val="22"/>
          <w:lang w:val="en-US"/>
        </w:rPr>
        <w:t>turnkey</w:t>
      </w:r>
      <w:r w:rsidR="00F77A26">
        <w:rPr>
          <w:sz w:val="22"/>
          <w:szCs w:val="22"/>
          <w:lang w:val="en-US"/>
        </w:rPr>
        <w:t>”</w:t>
      </w:r>
      <w:r w:rsidRPr="00A614DF">
        <w:rPr>
          <w:sz w:val="22"/>
          <w:szCs w:val="22"/>
          <w:lang w:val="en-US"/>
        </w:rPr>
        <w:t xml:space="preserve"> first module of the </w:t>
      </w:r>
      <w:r w:rsidR="00F77A26">
        <w:rPr>
          <w:sz w:val="22"/>
          <w:szCs w:val="22"/>
          <w:lang w:val="en-US"/>
        </w:rPr>
        <w:t>Balkhash thermal power station.</w:t>
      </w:r>
    </w:p>
    <w:p w:rsidR="002664E4" w:rsidRPr="00F77A26" w:rsidRDefault="00A614DF" w:rsidP="00627857">
      <w:pPr>
        <w:tabs>
          <w:tab w:val="left" w:pos="284"/>
          <w:tab w:val="left" w:pos="993"/>
        </w:tabs>
        <w:autoSpaceDE w:val="0"/>
        <w:autoSpaceDN w:val="0"/>
        <w:adjustRightInd w:val="0"/>
        <w:ind w:left="-567" w:firstLine="567"/>
        <w:jc w:val="both"/>
        <w:rPr>
          <w:sz w:val="22"/>
          <w:szCs w:val="22"/>
          <w:lang w:val="en-US"/>
        </w:rPr>
      </w:pPr>
      <w:r w:rsidRPr="00A614DF">
        <w:rPr>
          <w:sz w:val="22"/>
          <w:szCs w:val="22"/>
          <w:lang w:val="en-US"/>
        </w:rPr>
        <w:t xml:space="preserve">To increase the effectiveness of corporate governance </w:t>
      </w:r>
      <w:r w:rsidR="00773677">
        <w:rPr>
          <w:sz w:val="22"/>
          <w:szCs w:val="22"/>
          <w:lang w:val="en-US"/>
        </w:rPr>
        <w:t>through the</w:t>
      </w:r>
      <w:r w:rsidRPr="00A614DF">
        <w:rPr>
          <w:sz w:val="22"/>
          <w:szCs w:val="22"/>
          <w:lang w:val="en-US"/>
        </w:rPr>
        <w:t xml:space="preserve"> profile</w:t>
      </w:r>
      <w:r w:rsidR="00773677">
        <w:rPr>
          <w:sz w:val="22"/>
          <w:szCs w:val="22"/>
          <w:lang w:val="en-US"/>
        </w:rPr>
        <w:t xml:space="preserve"> organization</w:t>
      </w:r>
      <w:r w:rsidRPr="00A614DF">
        <w:rPr>
          <w:sz w:val="22"/>
          <w:szCs w:val="22"/>
          <w:lang w:val="en-US"/>
        </w:rPr>
        <w:t xml:space="preserve"> of the Fund </w:t>
      </w:r>
      <w:r w:rsidR="00773677">
        <w:rPr>
          <w:sz w:val="22"/>
          <w:szCs w:val="22"/>
          <w:lang w:val="en-US"/>
        </w:rPr>
        <w:t>by</w:t>
      </w:r>
      <w:r w:rsidRPr="00A614DF">
        <w:rPr>
          <w:sz w:val="22"/>
          <w:szCs w:val="22"/>
          <w:lang w:val="en-US"/>
        </w:rPr>
        <w:t xml:space="preserve"> direct ownership of assets and the inclusion of financial performance</w:t>
      </w:r>
      <w:r w:rsidR="00773677">
        <w:rPr>
          <w:sz w:val="22"/>
          <w:szCs w:val="22"/>
          <w:lang w:val="en-US"/>
        </w:rPr>
        <w:t xml:space="preserve"> indicators of</w:t>
      </w:r>
      <w:r w:rsidRPr="00A614DF">
        <w:rPr>
          <w:sz w:val="22"/>
          <w:szCs w:val="22"/>
          <w:lang w:val="en-US"/>
        </w:rPr>
        <w:t xml:space="preserve"> </w:t>
      </w:r>
      <w:r w:rsidR="00773677">
        <w:rPr>
          <w:sz w:val="22"/>
          <w:szCs w:val="22"/>
          <w:lang w:val="en-US"/>
        </w:rPr>
        <w:t>“</w:t>
      </w:r>
      <w:proofErr w:type="spellStart"/>
      <w:r w:rsidRPr="00A614DF">
        <w:rPr>
          <w:sz w:val="22"/>
          <w:szCs w:val="22"/>
          <w:lang w:val="en-US"/>
        </w:rPr>
        <w:t>Ekibastuz</w:t>
      </w:r>
      <w:r w:rsidR="00773677">
        <w:rPr>
          <w:sz w:val="22"/>
          <w:szCs w:val="22"/>
          <w:lang w:val="en-US"/>
        </w:rPr>
        <w:t>skaya</w:t>
      </w:r>
      <w:proofErr w:type="spellEnd"/>
      <w:r w:rsidR="00773677">
        <w:rPr>
          <w:sz w:val="22"/>
          <w:szCs w:val="22"/>
          <w:lang w:val="en-US"/>
        </w:rPr>
        <w:t xml:space="preserve"> GRES</w:t>
      </w:r>
      <w:r w:rsidRPr="00A614DF">
        <w:rPr>
          <w:sz w:val="22"/>
          <w:szCs w:val="22"/>
          <w:lang w:val="en-US"/>
        </w:rPr>
        <w:t>-1</w:t>
      </w:r>
      <w:r w:rsidR="00773677">
        <w:rPr>
          <w:sz w:val="22"/>
          <w:szCs w:val="22"/>
          <w:lang w:val="en-US"/>
        </w:rPr>
        <w:t>”</w:t>
      </w:r>
      <w:r w:rsidRPr="00A614DF">
        <w:rPr>
          <w:sz w:val="22"/>
          <w:szCs w:val="22"/>
          <w:lang w:val="en-US"/>
        </w:rPr>
        <w:t xml:space="preserve"> </w:t>
      </w:r>
      <w:r w:rsidR="00773677" w:rsidRPr="00A614DF">
        <w:rPr>
          <w:sz w:val="22"/>
          <w:szCs w:val="22"/>
          <w:lang w:val="en-US"/>
        </w:rPr>
        <w:t xml:space="preserve">LLP </w:t>
      </w:r>
      <w:r w:rsidRPr="00A614DF">
        <w:rPr>
          <w:sz w:val="22"/>
          <w:szCs w:val="22"/>
          <w:lang w:val="en-US"/>
        </w:rPr>
        <w:t xml:space="preserve">in the consolidated financial statements of </w:t>
      </w:r>
      <w:r w:rsidR="00773677">
        <w:rPr>
          <w:sz w:val="22"/>
          <w:szCs w:val="22"/>
          <w:lang w:val="en-US"/>
        </w:rPr>
        <w:t>“</w:t>
      </w:r>
      <w:r w:rsidRPr="00A614DF">
        <w:rPr>
          <w:sz w:val="22"/>
          <w:szCs w:val="22"/>
          <w:lang w:val="en-US"/>
        </w:rPr>
        <w:t>Samruk-Energ</w:t>
      </w:r>
      <w:r w:rsidR="00773677">
        <w:rPr>
          <w:sz w:val="22"/>
          <w:szCs w:val="22"/>
          <w:lang w:val="en-US"/>
        </w:rPr>
        <w:t xml:space="preserve">y” </w:t>
      </w:r>
      <w:r w:rsidR="00773677" w:rsidRPr="00A614DF">
        <w:rPr>
          <w:sz w:val="22"/>
          <w:szCs w:val="22"/>
          <w:lang w:val="en-US"/>
        </w:rPr>
        <w:t xml:space="preserve">JSC </w:t>
      </w:r>
      <w:r w:rsidR="00773677">
        <w:rPr>
          <w:sz w:val="22"/>
          <w:szCs w:val="22"/>
          <w:lang w:val="en-US"/>
        </w:rPr>
        <w:t>it is considered to transfer</w:t>
      </w:r>
      <w:r w:rsidRPr="00A614DF">
        <w:rPr>
          <w:sz w:val="22"/>
          <w:szCs w:val="22"/>
          <w:lang w:val="en-US"/>
        </w:rPr>
        <w:t xml:space="preserve"> 50% in authorized capital of </w:t>
      </w:r>
      <w:proofErr w:type="spellStart"/>
      <w:r w:rsidR="00773677" w:rsidRPr="00A614DF">
        <w:rPr>
          <w:sz w:val="22"/>
          <w:szCs w:val="22"/>
          <w:lang w:val="en-US"/>
        </w:rPr>
        <w:t>Ekibastuz</w:t>
      </w:r>
      <w:r w:rsidR="00773677">
        <w:rPr>
          <w:sz w:val="22"/>
          <w:szCs w:val="22"/>
          <w:lang w:val="en-US"/>
        </w:rPr>
        <w:t>skaya</w:t>
      </w:r>
      <w:proofErr w:type="spellEnd"/>
      <w:r w:rsidR="00773677">
        <w:rPr>
          <w:sz w:val="22"/>
          <w:szCs w:val="22"/>
          <w:lang w:val="en-US"/>
        </w:rPr>
        <w:t xml:space="preserve"> GRES</w:t>
      </w:r>
      <w:r w:rsidR="00773677" w:rsidRPr="00A614DF">
        <w:rPr>
          <w:sz w:val="22"/>
          <w:szCs w:val="22"/>
          <w:lang w:val="en-US"/>
        </w:rPr>
        <w:t>-1</w:t>
      </w:r>
      <w:r w:rsidR="00773677">
        <w:rPr>
          <w:sz w:val="22"/>
          <w:szCs w:val="22"/>
          <w:lang w:val="en-US"/>
        </w:rPr>
        <w:t>”</w:t>
      </w:r>
      <w:r w:rsidR="00773677" w:rsidRPr="00A614DF">
        <w:rPr>
          <w:sz w:val="22"/>
          <w:szCs w:val="22"/>
          <w:lang w:val="en-US"/>
        </w:rPr>
        <w:t xml:space="preserve"> </w:t>
      </w:r>
      <w:r w:rsidR="00773677">
        <w:rPr>
          <w:sz w:val="22"/>
          <w:szCs w:val="22"/>
          <w:lang w:val="en-US"/>
        </w:rPr>
        <w:t xml:space="preserve">LLP, </w:t>
      </w:r>
      <w:r w:rsidRPr="00A614DF">
        <w:rPr>
          <w:sz w:val="22"/>
          <w:szCs w:val="22"/>
          <w:lang w:val="en-US"/>
        </w:rPr>
        <w:t xml:space="preserve">which is a </w:t>
      </w:r>
      <w:r w:rsidR="00773677" w:rsidRPr="00A614DF">
        <w:rPr>
          <w:sz w:val="22"/>
          <w:szCs w:val="22"/>
          <w:lang w:val="en-US"/>
        </w:rPr>
        <w:t xml:space="preserve">condensing </w:t>
      </w:r>
      <w:r w:rsidRPr="00A614DF">
        <w:rPr>
          <w:sz w:val="22"/>
          <w:szCs w:val="22"/>
          <w:lang w:val="en-US"/>
        </w:rPr>
        <w:t>thermal power plant and produce</w:t>
      </w:r>
      <w:r w:rsidR="00773677">
        <w:rPr>
          <w:sz w:val="22"/>
          <w:szCs w:val="22"/>
          <w:lang w:val="en-US"/>
        </w:rPr>
        <w:t>s</w:t>
      </w:r>
      <w:r w:rsidRPr="00A614DF">
        <w:rPr>
          <w:sz w:val="22"/>
          <w:szCs w:val="22"/>
          <w:lang w:val="en-US"/>
        </w:rPr>
        <w:t xml:space="preserve"> </w:t>
      </w:r>
      <w:r w:rsidR="00773677">
        <w:rPr>
          <w:sz w:val="22"/>
          <w:szCs w:val="22"/>
          <w:lang w:val="en-US"/>
        </w:rPr>
        <w:t>electricity, to</w:t>
      </w:r>
      <w:r w:rsidR="00773677" w:rsidRPr="00773677">
        <w:rPr>
          <w:sz w:val="22"/>
          <w:szCs w:val="22"/>
          <w:lang w:val="en-US"/>
        </w:rPr>
        <w:t xml:space="preserve"> </w:t>
      </w:r>
      <w:r w:rsidR="00773677" w:rsidRPr="00A614DF">
        <w:rPr>
          <w:sz w:val="22"/>
          <w:szCs w:val="22"/>
          <w:lang w:val="en-US"/>
        </w:rPr>
        <w:t xml:space="preserve">the share capital of </w:t>
      </w:r>
      <w:r w:rsidR="00773677">
        <w:rPr>
          <w:sz w:val="22"/>
          <w:szCs w:val="22"/>
          <w:lang w:val="en-US"/>
        </w:rPr>
        <w:t>“</w:t>
      </w:r>
      <w:r w:rsidR="00773677" w:rsidRPr="00A614DF">
        <w:rPr>
          <w:sz w:val="22"/>
          <w:szCs w:val="22"/>
          <w:lang w:val="en-US"/>
        </w:rPr>
        <w:t>Samruk-Energ</w:t>
      </w:r>
      <w:r w:rsidR="00773677">
        <w:rPr>
          <w:sz w:val="22"/>
          <w:szCs w:val="22"/>
          <w:lang w:val="en-US"/>
        </w:rPr>
        <w:t>y”</w:t>
      </w:r>
      <w:r w:rsidR="00773677" w:rsidRPr="00773677">
        <w:rPr>
          <w:sz w:val="22"/>
          <w:szCs w:val="22"/>
          <w:lang w:val="en-US"/>
        </w:rPr>
        <w:t xml:space="preserve"> </w:t>
      </w:r>
      <w:r w:rsidR="00773677" w:rsidRPr="00A614DF">
        <w:rPr>
          <w:sz w:val="22"/>
          <w:szCs w:val="22"/>
          <w:lang w:val="en-US"/>
        </w:rPr>
        <w:t>J</w:t>
      </w:r>
      <w:r w:rsidR="00773677">
        <w:rPr>
          <w:sz w:val="22"/>
          <w:szCs w:val="22"/>
          <w:lang w:val="en-US"/>
        </w:rPr>
        <w:t>SC.</w:t>
      </w:r>
    </w:p>
    <w:p w:rsidR="002664E4" w:rsidRPr="009D2A6F" w:rsidRDefault="002664E4" w:rsidP="002664E4">
      <w:pPr>
        <w:pStyle w:val="a3"/>
        <w:tabs>
          <w:tab w:val="left" w:pos="426"/>
          <w:tab w:val="left" w:pos="993"/>
        </w:tabs>
        <w:ind w:left="-567" w:firstLine="567"/>
        <w:jc w:val="both"/>
        <w:rPr>
          <w:color w:val="000000"/>
          <w:sz w:val="22"/>
          <w:szCs w:val="22"/>
          <w:lang w:val="en-US"/>
        </w:rPr>
      </w:pPr>
      <w:r w:rsidRPr="009D2A6F">
        <w:rPr>
          <w:color w:val="000000"/>
          <w:sz w:val="22"/>
          <w:szCs w:val="22"/>
          <w:lang w:val="en-US"/>
        </w:rPr>
        <w:t xml:space="preserve">The principal activities of </w:t>
      </w:r>
      <w:r w:rsidR="00773677">
        <w:rPr>
          <w:color w:val="000000"/>
          <w:sz w:val="22"/>
          <w:szCs w:val="22"/>
          <w:lang w:val="en-US"/>
        </w:rPr>
        <w:t>“</w:t>
      </w:r>
      <w:r w:rsidRPr="009D2A6F">
        <w:rPr>
          <w:b/>
          <w:color w:val="000000"/>
          <w:sz w:val="22"/>
          <w:szCs w:val="22"/>
          <w:lang w:val="en-US"/>
        </w:rPr>
        <w:t>KOREM</w:t>
      </w:r>
      <w:r w:rsidR="00773677">
        <w:rPr>
          <w:b/>
          <w:color w:val="000000"/>
          <w:sz w:val="22"/>
          <w:szCs w:val="22"/>
          <w:lang w:val="en-US"/>
        </w:rPr>
        <w:t>” JSC (hereinafter - KOREM)</w:t>
      </w:r>
      <w:r w:rsidRPr="009D2A6F">
        <w:rPr>
          <w:color w:val="000000"/>
          <w:sz w:val="22"/>
          <w:szCs w:val="22"/>
          <w:lang w:val="en-US"/>
        </w:rPr>
        <w:t xml:space="preserve"> </w:t>
      </w:r>
      <w:r>
        <w:rPr>
          <w:color w:val="000000"/>
          <w:sz w:val="22"/>
          <w:szCs w:val="22"/>
          <w:lang w:val="en-US"/>
        </w:rPr>
        <w:t xml:space="preserve">are to provide </w:t>
      </w:r>
      <w:r w:rsidRPr="009D2A6F">
        <w:rPr>
          <w:color w:val="000000"/>
          <w:sz w:val="22"/>
          <w:szCs w:val="22"/>
          <w:lang w:val="en-US"/>
        </w:rPr>
        <w:t xml:space="preserve">preparedness for the trading of electric </w:t>
      </w:r>
      <w:r>
        <w:rPr>
          <w:color w:val="000000"/>
          <w:sz w:val="22"/>
          <w:szCs w:val="22"/>
          <w:lang w:val="en-US"/>
        </w:rPr>
        <w:t>power</w:t>
      </w:r>
      <w:r w:rsidRPr="009D2A6F">
        <w:rPr>
          <w:color w:val="000000"/>
          <w:sz w:val="22"/>
          <w:szCs w:val="22"/>
          <w:lang w:val="en-US"/>
        </w:rPr>
        <w:t xml:space="preserve"> in the central area, and </w:t>
      </w:r>
      <w:r w:rsidR="00773677">
        <w:rPr>
          <w:color w:val="000000"/>
          <w:sz w:val="22"/>
          <w:szCs w:val="22"/>
          <w:lang w:val="en-US"/>
        </w:rPr>
        <w:t>“</w:t>
      </w:r>
      <w:r w:rsidR="00773677" w:rsidRPr="00773677">
        <w:rPr>
          <w:b/>
          <w:bCs/>
          <w:sz w:val="22"/>
          <w:szCs w:val="22"/>
          <w:lang w:val="en-US"/>
        </w:rPr>
        <w:t xml:space="preserve">Kazakh Research Institute of Energy named after </w:t>
      </w:r>
      <w:proofErr w:type="spellStart"/>
      <w:r w:rsidR="00773677" w:rsidRPr="00773677">
        <w:rPr>
          <w:b/>
          <w:bCs/>
          <w:sz w:val="22"/>
          <w:szCs w:val="22"/>
          <w:lang w:val="en-US"/>
        </w:rPr>
        <w:t>Sh.Chokin</w:t>
      </w:r>
      <w:proofErr w:type="spellEnd"/>
      <w:r w:rsidR="00773677" w:rsidRPr="00773677">
        <w:rPr>
          <w:b/>
          <w:bCs/>
          <w:sz w:val="22"/>
          <w:szCs w:val="22"/>
          <w:lang w:val="en-US"/>
        </w:rPr>
        <w:t>” JSC</w:t>
      </w:r>
      <w:r w:rsidRPr="009D2A6F">
        <w:rPr>
          <w:color w:val="000000"/>
          <w:sz w:val="22"/>
          <w:szCs w:val="22"/>
          <w:lang w:val="en-US"/>
        </w:rPr>
        <w:t xml:space="preserve"> - the scientific and applied research and development in the field of electricity.</w:t>
      </w:r>
    </w:p>
    <w:p w:rsidR="00773677" w:rsidRDefault="00773677" w:rsidP="002664E4">
      <w:pPr>
        <w:pStyle w:val="a3"/>
        <w:tabs>
          <w:tab w:val="left" w:pos="426"/>
          <w:tab w:val="left" w:pos="993"/>
        </w:tabs>
        <w:ind w:left="-567" w:firstLine="567"/>
        <w:jc w:val="both"/>
        <w:rPr>
          <w:b/>
          <w:color w:val="000000"/>
          <w:sz w:val="22"/>
          <w:szCs w:val="22"/>
          <w:lang w:val="en-US"/>
        </w:rPr>
      </w:pPr>
    </w:p>
    <w:p w:rsidR="002664E4" w:rsidRPr="007E2C19" w:rsidRDefault="002664E4" w:rsidP="007E2C19">
      <w:pPr>
        <w:pStyle w:val="a3"/>
        <w:tabs>
          <w:tab w:val="left" w:pos="426"/>
          <w:tab w:val="left" w:pos="993"/>
        </w:tabs>
        <w:ind w:left="-567" w:firstLine="567"/>
        <w:jc w:val="both"/>
        <w:rPr>
          <w:color w:val="000000"/>
          <w:sz w:val="22"/>
          <w:szCs w:val="22"/>
          <w:lang w:val="en-US"/>
        </w:rPr>
      </w:pPr>
      <w:r w:rsidRPr="009D2A6F">
        <w:rPr>
          <w:b/>
          <w:color w:val="000000"/>
          <w:sz w:val="22"/>
          <w:szCs w:val="22"/>
          <w:lang w:val="en-US"/>
        </w:rPr>
        <w:t>“Telecommunications”</w:t>
      </w:r>
      <w:r>
        <w:rPr>
          <w:color w:val="000000"/>
          <w:sz w:val="22"/>
          <w:szCs w:val="22"/>
          <w:lang w:val="en-US"/>
        </w:rPr>
        <w:t xml:space="preserve"> Segment</w:t>
      </w:r>
      <w:r w:rsidRPr="009D2A6F">
        <w:rPr>
          <w:color w:val="000000"/>
          <w:sz w:val="22"/>
          <w:szCs w:val="22"/>
          <w:lang w:val="en-US"/>
        </w:rPr>
        <w:t xml:space="preserve"> </w:t>
      </w:r>
      <w:r>
        <w:rPr>
          <w:color w:val="000000"/>
          <w:sz w:val="22"/>
          <w:szCs w:val="22"/>
          <w:lang w:val="en-US"/>
        </w:rPr>
        <w:t xml:space="preserve">includes the Fund’s </w:t>
      </w:r>
      <w:r w:rsidRPr="009D2A6F">
        <w:rPr>
          <w:color w:val="000000"/>
          <w:sz w:val="22"/>
          <w:szCs w:val="22"/>
          <w:lang w:val="en-US"/>
        </w:rPr>
        <w:t>companies</w:t>
      </w:r>
      <w:r>
        <w:rPr>
          <w:color w:val="000000"/>
          <w:sz w:val="22"/>
          <w:szCs w:val="22"/>
          <w:lang w:val="en-US"/>
        </w:rPr>
        <w:t>:</w:t>
      </w:r>
      <w:r w:rsidRPr="009D2A6F">
        <w:rPr>
          <w:color w:val="000000"/>
          <w:sz w:val="22"/>
          <w:szCs w:val="22"/>
          <w:lang w:val="en-US"/>
        </w:rPr>
        <w:t xml:space="preserve"> </w:t>
      </w:r>
      <w:r>
        <w:rPr>
          <w:color w:val="000000"/>
          <w:sz w:val="22"/>
          <w:szCs w:val="22"/>
          <w:lang w:val="en-US"/>
        </w:rPr>
        <w:t>“</w:t>
      </w:r>
      <w:proofErr w:type="spellStart"/>
      <w:r>
        <w:rPr>
          <w:color w:val="000000"/>
          <w:sz w:val="22"/>
          <w:szCs w:val="22"/>
          <w:lang w:val="en-US"/>
        </w:rPr>
        <w:t>Kazakhtelecom</w:t>
      </w:r>
      <w:proofErr w:type="spellEnd"/>
      <w:r>
        <w:rPr>
          <w:color w:val="000000"/>
          <w:sz w:val="22"/>
          <w:szCs w:val="22"/>
          <w:lang w:val="en-US"/>
        </w:rPr>
        <w:t>” JSC</w:t>
      </w:r>
      <w:r w:rsidR="007E2C19">
        <w:rPr>
          <w:color w:val="000000"/>
          <w:sz w:val="22"/>
          <w:szCs w:val="22"/>
          <w:lang w:val="en-US"/>
        </w:rPr>
        <w:t xml:space="preserve"> </w:t>
      </w:r>
      <w:r w:rsidRPr="007E2C19">
        <w:rPr>
          <w:color w:val="000000"/>
          <w:sz w:val="22"/>
          <w:szCs w:val="22"/>
          <w:lang w:val="en-US"/>
        </w:rPr>
        <w:t>and “</w:t>
      </w:r>
      <w:proofErr w:type="spellStart"/>
      <w:r w:rsidRPr="007E2C19">
        <w:rPr>
          <w:color w:val="000000"/>
          <w:sz w:val="22"/>
          <w:szCs w:val="22"/>
          <w:lang w:val="en-US"/>
        </w:rPr>
        <w:t>Kazpost</w:t>
      </w:r>
      <w:proofErr w:type="spellEnd"/>
      <w:r w:rsidRPr="007E2C19">
        <w:rPr>
          <w:color w:val="000000"/>
          <w:sz w:val="22"/>
          <w:szCs w:val="22"/>
          <w:lang w:val="en-US"/>
        </w:rPr>
        <w:t>” JSC.</w:t>
      </w:r>
    </w:p>
    <w:p w:rsidR="002664E4" w:rsidRPr="009D2A6F" w:rsidRDefault="007E2C19" w:rsidP="002664E4">
      <w:pPr>
        <w:pStyle w:val="a3"/>
        <w:tabs>
          <w:tab w:val="left" w:pos="426"/>
          <w:tab w:val="left" w:pos="993"/>
        </w:tabs>
        <w:ind w:left="-567" w:firstLine="567"/>
        <w:jc w:val="both"/>
        <w:rPr>
          <w:color w:val="000000"/>
          <w:sz w:val="22"/>
          <w:szCs w:val="22"/>
          <w:lang w:val="en-US"/>
        </w:rPr>
      </w:pPr>
      <w:proofErr w:type="spellStart"/>
      <w:r w:rsidRPr="007E2C19">
        <w:rPr>
          <w:b/>
          <w:color w:val="000000"/>
          <w:sz w:val="22"/>
          <w:szCs w:val="22"/>
          <w:lang w:val="en-US"/>
        </w:rPr>
        <w:lastRenderedPageBreak/>
        <w:t>Kazakhtelecom</w:t>
      </w:r>
      <w:proofErr w:type="spellEnd"/>
      <w:r w:rsidRPr="007E2C19">
        <w:rPr>
          <w:b/>
          <w:color w:val="000000"/>
          <w:sz w:val="22"/>
          <w:szCs w:val="22"/>
          <w:lang w:val="en-US"/>
        </w:rPr>
        <w:t>” JSC</w:t>
      </w:r>
      <w:r>
        <w:rPr>
          <w:color w:val="000000"/>
          <w:sz w:val="22"/>
          <w:szCs w:val="22"/>
          <w:lang w:val="en-US"/>
        </w:rPr>
        <w:t xml:space="preserve"> (hereinafter – </w:t>
      </w:r>
      <w:proofErr w:type="spellStart"/>
      <w:r w:rsidR="002664E4" w:rsidRPr="009D2A6F">
        <w:rPr>
          <w:color w:val="000000"/>
          <w:sz w:val="22"/>
          <w:szCs w:val="22"/>
          <w:lang w:val="en-US"/>
        </w:rPr>
        <w:t>Kaz</w:t>
      </w:r>
      <w:r w:rsidR="00DF51F7">
        <w:rPr>
          <w:color w:val="000000"/>
          <w:sz w:val="22"/>
          <w:szCs w:val="22"/>
          <w:lang w:val="en-US"/>
        </w:rPr>
        <w:t>akh</w:t>
      </w:r>
      <w:r w:rsidR="002664E4" w:rsidRPr="009D2A6F">
        <w:rPr>
          <w:color w:val="000000"/>
          <w:sz w:val="22"/>
          <w:szCs w:val="22"/>
          <w:lang w:val="en-US"/>
        </w:rPr>
        <w:t>telecom</w:t>
      </w:r>
      <w:proofErr w:type="spellEnd"/>
      <w:r>
        <w:rPr>
          <w:color w:val="000000"/>
          <w:sz w:val="22"/>
          <w:szCs w:val="22"/>
          <w:lang w:val="en-US"/>
        </w:rPr>
        <w:t xml:space="preserve">), as the largest </w:t>
      </w:r>
      <w:r w:rsidR="002664E4" w:rsidRPr="009D2A6F">
        <w:rPr>
          <w:color w:val="000000"/>
          <w:sz w:val="22"/>
          <w:szCs w:val="22"/>
          <w:lang w:val="en-US"/>
        </w:rPr>
        <w:t>telecommunication operator of Kazakhstan provides the following services: fixed telephony, mobile telephony, data transmission and Internet</w:t>
      </w:r>
      <w:r w:rsidR="002664E4">
        <w:rPr>
          <w:color w:val="000000"/>
          <w:sz w:val="22"/>
          <w:szCs w:val="22"/>
          <w:lang w:val="en-US"/>
        </w:rPr>
        <w:t>,</w:t>
      </w:r>
      <w:r w:rsidR="002664E4" w:rsidRPr="009D2A6F">
        <w:rPr>
          <w:color w:val="000000"/>
          <w:sz w:val="22"/>
          <w:szCs w:val="22"/>
          <w:lang w:val="en-US"/>
        </w:rPr>
        <w:t xml:space="preserve"> service</w:t>
      </w:r>
      <w:r w:rsidR="002664E4">
        <w:rPr>
          <w:color w:val="000000"/>
          <w:sz w:val="22"/>
          <w:szCs w:val="22"/>
          <w:lang w:val="en-US"/>
        </w:rPr>
        <w:t xml:space="preserve">s to </w:t>
      </w:r>
      <w:r w:rsidR="00B52615">
        <w:rPr>
          <w:color w:val="000000"/>
          <w:sz w:val="22"/>
          <w:szCs w:val="22"/>
          <w:lang w:val="en-US"/>
        </w:rPr>
        <w:t xml:space="preserve">operators and paid </w:t>
      </w:r>
      <w:r w:rsidR="002664E4" w:rsidRPr="009D2A6F">
        <w:rPr>
          <w:color w:val="000000"/>
          <w:sz w:val="22"/>
          <w:szCs w:val="22"/>
          <w:lang w:val="en-US"/>
        </w:rPr>
        <w:t xml:space="preserve">TV </w:t>
      </w:r>
      <w:r w:rsidR="00B52615">
        <w:rPr>
          <w:color w:val="000000"/>
          <w:sz w:val="22"/>
          <w:szCs w:val="22"/>
          <w:lang w:val="en-US"/>
        </w:rPr>
        <w:t xml:space="preserve">and IT </w:t>
      </w:r>
      <w:r w:rsidR="002664E4" w:rsidRPr="009D2A6F">
        <w:rPr>
          <w:color w:val="000000"/>
          <w:sz w:val="22"/>
          <w:szCs w:val="22"/>
          <w:lang w:val="en-US"/>
        </w:rPr>
        <w:t xml:space="preserve">services. The structure of </w:t>
      </w:r>
      <w:proofErr w:type="spellStart"/>
      <w:r w:rsidR="002664E4" w:rsidRPr="009D2A6F">
        <w:rPr>
          <w:color w:val="000000"/>
          <w:sz w:val="22"/>
          <w:szCs w:val="22"/>
          <w:lang w:val="en-US"/>
        </w:rPr>
        <w:t>Kazakhtelecom</w:t>
      </w:r>
      <w:proofErr w:type="spellEnd"/>
      <w:r w:rsidR="002664E4" w:rsidRPr="009D2A6F">
        <w:rPr>
          <w:color w:val="000000"/>
          <w:sz w:val="22"/>
          <w:szCs w:val="22"/>
          <w:lang w:val="en-US"/>
        </w:rPr>
        <w:t xml:space="preserve"> includes 1</w:t>
      </w:r>
      <w:r>
        <w:rPr>
          <w:color w:val="000000"/>
          <w:sz w:val="22"/>
          <w:szCs w:val="22"/>
          <w:lang w:val="en-US"/>
        </w:rPr>
        <w:t>2</w:t>
      </w:r>
      <w:r w:rsidR="002664E4" w:rsidRPr="009D2A6F">
        <w:rPr>
          <w:color w:val="000000"/>
          <w:sz w:val="22"/>
          <w:szCs w:val="22"/>
          <w:lang w:val="en-US"/>
        </w:rPr>
        <w:t xml:space="preserve"> companies on </w:t>
      </w:r>
      <w:r w:rsidR="002664E4">
        <w:rPr>
          <w:color w:val="000000"/>
          <w:sz w:val="22"/>
          <w:szCs w:val="22"/>
          <w:lang w:val="en-US"/>
        </w:rPr>
        <w:t xml:space="preserve">3 </w:t>
      </w:r>
      <w:r w:rsidR="00B52615">
        <w:rPr>
          <w:color w:val="000000"/>
          <w:sz w:val="22"/>
          <w:szCs w:val="22"/>
          <w:lang w:val="en-US"/>
        </w:rPr>
        <w:t>levels;</w:t>
      </w:r>
      <w:r w:rsidR="002664E4">
        <w:rPr>
          <w:color w:val="000000"/>
          <w:sz w:val="22"/>
          <w:szCs w:val="22"/>
          <w:lang w:val="en-US"/>
        </w:rPr>
        <w:t xml:space="preserve"> the C</w:t>
      </w:r>
      <w:r w:rsidR="002664E4" w:rsidRPr="009D2A6F">
        <w:rPr>
          <w:color w:val="000000"/>
          <w:sz w:val="22"/>
          <w:szCs w:val="22"/>
          <w:lang w:val="en-US"/>
        </w:rPr>
        <w:t>ompany has a branch network in the region</w:t>
      </w:r>
      <w:r>
        <w:rPr>
          <w:color w:val="000000"/>
          <w:sz w:val="22"/>
          <w:szCs w:val="22"/>
          <w:lang w:val="en-US"/>
        </w:rPr>
        <w:t>s</w:t>
      </w:r>
      <w:r w:rsidR="002664E4" w:rsidRPr="009D2A6F">
        <w:rPr>
          <w:color w:val="000000"/>
          <w:sz w:val="22"/>
          <w:szCs w:val="22"/>
          <w:lang w:val="en-US"/>
        </w:rPr>
        <w:t xml:space="preserve"> and is part of the Fund, which owns 51% </w:t>
      </w:r>
      <w:r w:rsidR="002664E4">
        <w:rPr>
          <w:color w:val="000000"/>
          <w:sz w:val="22"/>
          <w:szCs w:val="22"/>
          <w:lang w:val="en-US"/>
        </w:rPr>
        <w:t xml:space="preserve">of ordinary </w:t>
      </w:r>
      <w:r w:rsidR="002664E4" w:rsidRPr="009D2A6F">
        <w:rPr>
          <w:color w:val="000000"/>
          <w:sz w:val="22"/>
          <w:szCs w:val="22"/>
          <w:lang w:val="en-US"/>
        </w:rPr>
        <w:t>shares.</w:t>
      </w:r>
    </w:p>
    <w:p w:rsidR="002664E4" w:rsidRPr="007C6D63" w:rsidRDefault="002664E4" w:rsidP="002664E4">
      <w:pPr>
        <w:tabs>
          <w:tab w:val="left" w:pos="426"/>
          <w:tab w:val="left" w:pos="993"/>
        </w:tabs>
        <w:autoSpaceDE w:val="0"/>
        <w:autoSpaceDN w:val="0"/>
        <w:adjustRightInd w:val="0"/>
        <w:ind w:left="-567" w:firstLine="567"/>
        <w:jc w:val="both"/>
        <w:rPr>
          <w:sz w:val="22"/>
          <w:szCs w:val="22"/>
          <w:lang w:val="en-US"/>
        </w:rPr>
      </w:pPr>
      <w:r w:rsidRPr="0077532A">
        <w:rPr>
          <w:bCs/>
          <w:sz w:val="22"/>
          <w:szCs w:val="22"/>
          <w:lang w:val="en-US"/>
        </w:rPr>
        <w:t>The</w:t>
      </w:r>
      <w:r>
        <w:rPr>
          <w:bCs/>
          <w:sz w:val="22"/>
          <w:szCs w:val="22"/>
          <w:lang w:val="en-US"/>
        </w:rPr>
        <w:t xml:space="preserve"> </w:t>
      </w:r>
      <w:r w:rsidRPr="0077532A">
        <w:rPr>
          <w:bCs/>
          <w:sz w:val="22"/>
          <w:szCs w:val="22"/>
          <w:lang w:val="en-US"/>
        </w:rPr>
        <w:t>following</w:t>
      </w:r>
      <w:r w:rsidRPr="0077532A">
        <w:rPr>
          <w:color w:val="000000"/>
          <w:sz w:val="22"/>
          <w:szCs w:val="22"/>
          <w:lang w:val="en-US"/>
        </w:rPr>
        <w:t xml:space="preserve"> </w:t>
      </w:r>
      <w:r w:rsidRPr="007C6D63">
        <w:rPr>
          <w:b/>
          <w:color w:val="000000"/>
          <w:sz w:val="22"/>
          <w:szCs w:val="22"/>
          <w:lang w:val="en-US"/>
        </w:rPr>
        <w:t>significant events</w:t>
      </w:r>
      <w:r>
        <w:rPr>
          <w:sz w:val="22"/>
          <w:szCs w:val="22"/>
          <w:lang w:val="en-US"/>
        </w:rPr>
        <w:t xml:space="preserve"> occurred in </w:t>
      </w:r>
      <w:r w:rsidR="007E2C19">
        <w:rPr>
          <w:sz w:val="22"/>
          <w:szCs w:val="22"/>
          <w:lang w:val="en-US"/>
        </w:rPr>
        <w:t>the reporting period</w:t>
      </w:r>
      <w:r w:rsidRPr="007C6D63">
        <w:rPr>
          <w:sz w:val="22"/>
          <w:szCs w:val="22"/>
          <w:lang w:val="en-US"/>
        </w:rPr>
        <w:t xml:space="preserve">:  </w:t>
      </w:r>
    </w:p>
    <w:p w:rsidR="00DF51F7" w:rsidRPr="00DF51F7" w:rsidRDefault="002664E4" w:rsidP="00DF51F7">
      <w:pPr>
        <w:pStyle w:val="a3"/>
        <w:tabs>
          <w:tab w:val="left" w:pos="284"/>
          <w:tab w:val="left" w:pos="2127"/>
        </w:tabs>
        <w:autoSpaceDE w:val="0"/>
        <w:autoSpaceDN w:val="0"/>
        <w:adjustRightInd w:val="0"/>
        <w:spacing w:after="200"/>
        <w:ind w:left="-567" w:firstLine="567"/>
        <w:jc w:val="both"/>
        <w:rPr>
          <w:sz w:val="22"/>
          <w:szCs w:val="22"/>
          <w:lang w:val="en-US"/>
        </w:rPr>
      </w:pPr>
      <w:r w:rsidRPr="009D2A6F">
        <w:rPr>
          <w:sz w:val="22"/>
          <w:szCs w:val="22"/>
          <w:lang w:val="en-US"/>
        </w:rPr>
        <w:t xml:space="preserve">1) </w:t>
      </w:r>
      <w:proofErr w:type="spellStart"/>
      <w:r w:rsidR="00DF51F7" w:rsidRPr="009D2A6F">
        <w:rPr>
          <w:color w:val="000000"/>
          <w:sz w:val="22"/>
          <w:szCs w:val="22"/>
          <w:lang w:val="en-US"/>
        </w:rPr>
        <w:t>Kaz</w:t>
      </w:r>
      <w:r w:rsidR="00DF51F7">
        <w:rPr>
          <w:color w:val="000000"/>
          <w:sz w:val="22"/>
          <w:szCs w:val="22"/>
          <w:lang w:val="en-US"/>
        </w:rPr>
        <w:t>akh</w:t>
      </w:r>
      <w:r w:rsidR="00DF51F7" w:rsidRPr="009D2A6F">
        <w:rPr>
          <w:color w:val="000000"/>
          <w:sz w:val="22"/>
          <w:szCs w:val="22"/>
          <w:lang w:val="en-US"/>
        </w:rPr>
        <w:t>telecom</w:t>
      </w:r>
      <w:proofErr w:type="spellEnd"/>
      <w:r w:rsidR="00DF51F7" w:rsidRPr="00DF51F7">
        <w:rPr>
          <w:sz w:val="22"/>
          <w:szCs w:val="22"/>
          <w:lang w:val="en-US"/>
        </w:rPr>
        <w:t xml:space="preserve"> </w:t>
      </w:r>
      <w:r w:rsidR="00DF51F7">
        <w:rPr>
          <w:sz w:val="22"/>
          <w:szCs w:val="22"/>
          <w:lang w:val="en-US"/>
        </w:rPr>
        <w:t>sold a stake in</w:t>
      </w:r>
      <w:r w:rsidR="00DF51F7" w:rsidRPr="00DF51F7">
        <w:rPr>
          <w:sz w:val="22"/>
          <w:szCs w:val="22"/>
          <w:lang w:val="en-US"/>
        </w:rPr>
        <w:t xml:space="preserve"> </w:t>
      </w:r>
      <w:r w:rsidR="00DF51F7">
        <w:rPr>
          <w:sz w:val="22"/>
          <w:szCs w:val="22"/>
          <w:lang w:val="en-US"/>
        </w:rPr>
        <w:t>“</w:t>
      </w:r>
      <w:r w:rsidR="00DF51F7" w:rsidRPr="00DF51F7">
        <w:rPr>
          <w:sz w:val="22"/>
          <w:szCs w:val="22"/>
          <w:lang w:val="en-US"/>
        </w:rPr>
        <w:t>GSM Kazakhstan</w:t>
      </w:r>
      <w:r w:rsidR="00DF51F7">
        <w:rPr>
          <w:sz w:val="22"/>
          <w:szCs w:val="22"/>
          <w:lang w:val="en-US"/>
        </w:rPr>
        <w:t>”</w:t>
      </w:r>
      <w:r w:rsidR="00DF51F7" w:rsidRPr="00DF51F7">
        <w:rPr>
          <w:sz w:val="22"/>
          <w:szCs w:val="22"/>
          <w:lang w:val="en-US"/>
        </w:rPr>
        <w:t xml:space="preserve"> LLP </w:t>
      </w:r>
      <w:r w:rsidR="00DF51F7">
        <w:rPr>
          <w:sz w:val="22"/>
          <w:szCs w:val="22"/>
          <w:lang w:val="en-US"/>
        </w:rPr>
        <w:t xml:space="preserve">to </w:t>
      </w:r>
      <w:r w:rsidR="00DF51F7" w:rsidRPr="00DF51F7">
        <w:rPr>
          <w:sz w:val="22"/>
          <w:szCs w:val="22"/>
          <w:lang w:val="en-US"/>
        </w:rPr>
        <w:t xml:space="preserve">JSC </w:t>
      </w:r>
      <w:r w:rsidR="00DF51F7">
        <w:rPr>
          <w:sz w:val="22"/>
          <w:szCs w:val="22"/>
          <w:lang w:val="en-US"/>
        </w:rPr>
        <w:t>“</w:t>
      </w:r>
      <w:proofErr w:type="spellStart"/>
      <w:r w:rsidR="00DF51F7">
        <w:rPr>
          <w:sz w:val="22"/>
          <w:szCs w:val="22"/>
          <w:lang w:val="en-US"/>
        </w:rPr>
        <w:t>Kazakhtelecom</w:t>
      </w:r>
      <w:proofErr w:type="spellEnd"/>
      <w:r w:rsidR="00DF51F7">
        <w:rPr>
          <w:sz w:val="22"/>
          <w:szCs w:val="22"/>
          <w:lang w:val="en-US"/>
        </w:rPr>
        <w:t>”</w:t>
      </w:r>
      <w:r w:rsidR="00DF51F7" w:rsidRPr="00DF51F7">
        <w:rPr>
          <w:sz w:val="22"/>
          <w:szCs w:val="22"/>
          <w:lang w:val="en-US"/>
        </w:rPr>
        <w:t xml:space="preserve"> in the amount of 49%.</w:t>
      </w:r>
    </w:p>
    <w:p w:rsidR="00DF51F7" w:rsidRPr="00DF51F7" w:rsidRDefault="00DF51F7" w:rsidP="00DF51F7">
      <w:pPr>
        <w:pStyle w:val="a3"/>
        <w:tabs>
          <w:tab w:val="left" w:pos="284"/>
          <w:tab w:val="left" w:pos="2127"/>
        </w:tabs>
        <w:autoSpaceDE w:val="0"/>
        <w:autoSpaceDN w:val="0"/>
        <w:adjustRightInd w:val="0"/>
        <w:spacing w:after="200"/>
        <w:ind w:left="-567" w:firstLine="567"/>
        <w:jc w:val="both"/>
        <w:rPr>
          <w:sz w:val="22"/>
          <w:szCs w:val="22"/>
          <w:lang w:val="en-US"/>
        </w:rPr>
      </w:pPr>
      <w:r w:rsidRPr="00DF51F7">
        <w:rPr>
          <w:sz w:val="22"/>
          <w:szCs w:val="22"/>
          <w:lang w:val="en-US"/>
        </w:rPr>
        <w:t xml:space="preserve">2) </w:t>
      </w:r>
      <w:proofErr w:type="gramStart"/>
      <w:r>
        <w:rPr>
          <w:sz w:val="22"/>
          <w:szCs w:val="22"/>
          <w:lang w:val="en-US"/>
        </w:rPr>
        <w:t>since</w:t>
      </w:r>
      <w:proofErr w:type="gramEnd"/>
      <w:r>
        <w:rPr>
          <w:sz w:val="22"/>
          <w:szCs w:val="22"/>
          <w:lang w:val="en-US"/>
        </w:rPr>
        <w:t xml:space="preserve"> </w:t>
      </w:r>
      <w:r w:rsidRPr="00DF51F7">
        <w:rPr>
          <w:sz w:val="22"/>
          <w:szCs w:val="22"/>
          <w:lang w:val="en-US"/>
        </w:rPr>
        <w:t>May 1, 2012 the next stage of re-balancing of tariffs for universal telecommunication services</w:t>
      </w:r>
      <w:r>
        <w:rPr>
          <w:sz w:val="22"/>
          <w:szCs w:val="22"/>
          <w:lang w:val="en-US"/>
        </w:rPr>
        <w:t xml:space="preserve"> has been held</w:t>
      </w:r>
      <w:r w:rsidRPr="00DF51F7">
        <w:rPr>
          <w:sz w:val="22"/>
          <w:szCs w:val="22"/>
          <w:lang w:val="en-US"/>
        </w:rPr>
        <w:t>.</w:t>
      </w:r>
    </w:p>
    <w:p w:rsidR="00DF51F7" w:rsidRPr="00DF51F7" w:rsidRDefault="00DF51F7" w:rsidP="00DF51F7">
      <w:pPr>
        <w:pStyle w:val="a3"/>
        <w:tabs>
          <w:tab w:val="left" w:pos="284"/>
          <w:tab w:val="left" w:pos="2127"/>
        </w:tabs>
        <w:autoSpaceDE w:val="0"/>
        <w:autoSpaceDN w:val="0"/>
        <w:adjustRightInd w:val="0"/>
        <w:spacing w:after="200"/>
        <w:ind w:left="-567" w:firstLine="567"/>
        <w:jc w:val="both"/>
        <w:rPr>
          <w:sz w:val="22"/>
          <w:szCs w:val="22"/>
          <w:lang w:val="en-US"/>
        </w:rPr>
      </w:pPr>
      <w:r w:rsidRPr="00DF51F7">
        <w:rPr>
          <w:sz w:val="22"/>
          <w:szCs w:val="22"/>
          <w:lang w:val="en-US"/>
        </w:rPr>
        <w:t xml:space="preserve">3) </w:t>
      </w:r>
      <w:proofErr w:type="gramStart"/>
      <w:r w:rsidRPr="00DF51F7">
        <w:rPr>
          <w:sz w:val="22"/>
          <w:szCs w:val="22"/>
          <w:lang w:val="en-US"/>
        </w:rPr>
        <w:t>in</w:t>
      </w:r>
      <w:proofErr w:type="gramEnd"/>
      <w:r w:rsidRPr="00DF51F7">
        <w:rPr>
          <w:sz w:val="22"/>
          <w:szCs w:val="22"/>
          <w:lang w:val="en-US"/>
        </w:rPr>
        <w:t xml:space="preserve"> early 2012</w:t>
      </w:r>
      <w:r>
        <w:rPr>
          <w:sz w:val="22"/>
          <w:szCs w:val="22"/>
          <w:lang w:val="en-US"/>
        </w:rPr>
        <w:t xml:space="preserve"> </w:t>
      </w:r>
      <w:r w:rsidRPr="00DF51F7">
        <w:rPr>
          <w:sz w:val="22"/>
          <w:szCs w:val="22"/>
          <w:lang w:val="en-US"/>
        </w:rPr>
        <w:t>the level of tariffs for broadband access to the Internet</w:t>
      </w:r>
      <w:r>
        <w:rPr>
          <w:sz w:val="22"/>
          <w:szCs w:val="22"/>
          <w:lang w:val="en-US"/>
        </w:rPr>
        <w:t xml:space="preserve"> has been </w:t>
      </w:r>
      <w:r w:rsidRPr="00DF51F7">
        <w:rPr>
          <w:sz w:val="22"/>
          <w:szCs w:val="22"/>
          <w:lang w:val="en-US"/>
        </w:rPr>
        <w:t>reduced.</w:t>
      </w:r>
    </w:p>
    <w:p w:rsidR="00C9328C" w:rsidRDefault="00DF51F7" w:rsidP="00DF51F7">
      <w:pPr>
        <w:pStyle w:val="a3"/>
        <w:tabs>
          <w:tab w:val="left" w:pos="284"/>
          <w:tab w:val="left" w:pos="2127"/>
        </w:tabs>
        <w:autoSpaceDE w:val="0"/>
        <w:autoSpaceDN w:val="0"/>
        <w:adjustRightInd w:val="0"/>
        <w:spacing w:after="200"/>
        <w:ind w:left="-567" w:firstLine="567"/>
        <w:jc w:val="both"/>
        <w:rPr>
          <w:sz w:val="22"/>
          <w:szCs w:val="22"/>
          <w:lang w:val="en-US"/>
        </w:rPr>
      </w:pPr>
      <w:r w:rsidRPr="00DF51F7">
        <w:rPr>
          <w:sz w:val="22"/>
          <w:szCs w:val="22"/>
          <w:lang w:val="en-US"/>
        </w:rPr>
        <w:t xml:space="preserve">4) </w:t>
      </w:r>
      <w:r>
        <w:rPr>
          <w:sz w:val="22"/>
          <w:szCs w:val="22"/>
          <w:lang w:val="en-US"/>
        </w:rPr>
        <w:t>debt financing (JSC “Citibank Kazakhstan”) of KZT</w:t>
      </w:r>
      <w:r w:rsidRPr="00DF51F7">
        <w:rPr>
          <w:sz w:val="22"/>
          <w:szCs w:val="22"/>
          <w:lang w:val="en-US"/>
        </w:rPr>
        <w:t xml:space="preserve"> 317.4 million </w:t>
      </w:r>
      <w:r>
        <w:rPr>
          <w:sz w:val="22"/>
          <w:szCs w:val="22"/>
          <w:lang w:val="en-US"/>
        </w:rPr>
        <w:t xml:space="preserve">was arranged </w:t>
      </w:r>
      <w:r w:rsidRPr="00DF51F7">
        <w:rPr>
          <w:sz w:val="22"/>
          <w:szCs w:val="22"/>
          <w:lang w:val="en-US"/>
        </w:rPr>
        <w:t xml:space="preserve">for the financing of </w:t>
      </w:r>
      <w:r>
        <w:rPr>
          <w:sz w:val="22"/>
          <w:szCs w:val="22"/>
          <w:lang w:val="en-US"/>
        </w:rPr>
        <w:t xml:space="preserve">delivery of </w:t>
      </w:r>
      <w:r w:rsidRPr="00DF51F7">
        <w:rPr>
          <w:sz w:val="22"/>
          <w:szCs w:val="22"/>
          <w:lang w:val="en-US"/>
        </w:rPr>
        <w:t>equipment and installation and commissioning services for the centers of concentration of traffic on the data network.</w:t>
      </w:r>
    </w:p>
    <w:p w:rsidR="002664E4" w:rsidRPr="00D9583D" w:rsidRDefault="00A125F4" w:rsidP="002664E4">
      <w:pPr>
        <w:pStyle w:val="a3"/>
        <w:tabs>
          <w:tab w:val="left" w:pos="426"/>
          <w:tab w:val="left" w:pos="2127"/>
        </w:tabs>
        <w:autoSpaceDE w:val="0"/>
        <w:autoSpaceDN w:val="0"/>
        <w:adjustRightInd w:val="0"/>
        <w:spacing w:after="200"/>
        <w:ind w:left="-567" w:firstLine="709"/>
        <w:jc w:val="both"/>
        <w:rPr>
          <w:sz w:val="22"/>
          <w:szCs w:val="22"/>
          <w:lang w:val="en-US"/>
        </w:rPr>
      </w:pPr>
      <w:r>
        <w:rPr>
          <w:b/>
          <w:sz w:val="22"/>
          <w:szCs w:val="22"/>
          <w:lang w:val="en-US"/>
        </w:rPr>
        <w:t>“</w:t>
      </w:r>
      <w:proofErr w:type="spellStart"/>
      <w:r w:rsidR="002664E4" w:rsidRPr="00D9583D">
        <w:rPr>
          <w:b/>
          <w:sz w:val="22"/>
          <w:szCs w:val="22"/>
          <w:lang w:val="en-US"/>
        </w:rPr>
        <w:t>Kazpost</w:t>
      </w:r>
      <w:proofErr w:type="spellEnd"/>
      <w:r>
        <w:rPr>
          <w:b/>
          <w:sz w:val="22"/>
          <w:szCs w:val="22"/>
          <w:lang w:val="en-US"/>
        </w:rPr>
        <w:t xml:space="preserve">” JSC (hereinafter - </w:t>
      </w:r>
      <w:proofErr w:type="spellStart"/>
      <w:r>
        <w:rPr>
          <w:b/>
          <w:sz w:val="22"/>
          <w:szCs w:val="22"/>
          <w:lang w:val="en-US"/>
        </w:rPr>
        <w:t>Kazpost</w:t>
      </w:r>
      <w:proofErr w:type="spellEnd"/>
      <w:r>
        <w:rPr>
          <w:b/>
          <w:sz w:val="22"/>
          <w:szCs w:val="22"/>
          <w:lang w:val="en-US"/>
        </w:rPr>
        <w:t>)</w:t>
      </w:r>
      <w:r w:rsidR="002664E4" w:rsidRPr="00D9583D">
        <w:rPr>
          <w:b/>
          <w:sz w:val="22"/>
          <w:szCs w:val="22"/>
          <w:lang w:val="en-US"/>
        </w:rPr>
        <w:t xml:space="preserve"> </w:t>
      </w:r>
      <w:r w:rsidR="002664E4" w:rsidRPr="006E1E65">
        <w:rPr>
          <w:sz w:val="22"/>
          <w:szCs w:val="22"/>
          <w:lang w:val="en-US"/>
        </w:rPr>
        <w:t>is</w:t>
      </w:r>
      <w:r w:rsidR="002664E4">
        <w:rPr>
          <w:b/>
          <w:sz w:val="22"/>
          <w:szCs w:val="22"/>
          <w:lang w:val="en-US"/>
        </w:rPr>
        <w:t xml:space="preserve"> </w:t>
      </w:r>
      <w:r w:rsidR="002664E4" w:rsidRPr="00D9583D">
        <w:rPr>
          <w:sz w:val="22"/>
          <w:szCs w:val="22"/>
          <w:lang w:val="en-US"/>
        </w:rPr>
        <w:t xml:space="preserve">defined as a national operator of mail </w:t>
      </w:r>
      <w:r w:rsidR="00CE4AD9">
        <w:rPr>
          <w:sz w:val="22"/>
          <w:szCs w:val="22"/>
          <w:lang w:val="en-US"/>
        </w:rPr>
        <w:t xml:space="preserve">services </w:t>
      </w:r>
      <w:r w:rsidR="002664E4" w:rsidRPr="00D9583D">
        <w:rPr>
          <w:sz w:val="22"/>
          <w:szCs w:val="22"/>
          <w:lang w:val="en-US"/>
        </w:rPr>
        <w:t xml:space="preserve">and </w:t>
      </w:r>
      <w:r w:rsidR="00CE4AD9">
        <w:rPr>
          <w:sz w:val="22"/>
          <w:szCs w:val="22"/>
          <w:lang w:val="en-US"/>
        </w:rPr>
        <w:t>guide</w:t>
      </w:r>
      <w:r w:rsidR="002664E4" w:rsidRPr="00D9583D">
        <w:rPr>
          <w:sz w:val="22"/>
          <w:szCs w:val="22"/>
          <w:lang w:val="en-US"/>
        </w:rPr>
        <w:t xml:space="preserve"> of the state policy on development of the postal savings system</w:t>
      </w:r>
      <w:r w:rsidR="002664E4">
        <w:rPr>
          <w:sz w:val="22"/>
          <w:szCs w:val="22"/>
          <w:lang w:val="en-US"/>
        </w:rPr>
        <w:t xml:space="preserve"> </w:t>
      </w:r>
      <w:r w:rsidR="002664E4" w:rsidRPr="00D9583D">
        <w:rPr>
          <w:sz w:val="22"/>
          <w:szCs w:val="22"/>
          <w:lang w:val="en-US"/>
        </w:rPr>
        <w:t>in the Republic.</w:t>
      </w:r>
    </w:p>
    <w:p w:rsidR="002664E4" w:rsidRPr="00D9583D" w:rsidRDefault="002664E4" w:rsidP="002664E4">
      <w:pPr>
        <w:pStyle w:val="a3"/>
        <w:tabs>
          <w:tab w:val="left" w:pos="426"/>
          <w:tab w:val="left" w:pos="2127"/>
        </w:tabs>
        <w:autoSpaceDE w:val="0"/>
        <w:autoSpaceDN w:val="0"/>
        <w:adjustRightInd w:val="0"/>
        <w:spacing w:after="200"/>
        <w:ind w:left="-567" w:firstLine="709"/>
        <w:jc w:val="both"/>
        <w:rPr>
          <w:sz w:val="22"/>
          <w:szCs w:val="22"/>
          <w:lang w:val="en-US"/>
        </w:rPr>
      </w:pPr>
      <w:r>
        <w:rPr>
          <w:sz w:val="22"/>
          <w:szCs w:val="22"/>
          <w:lang w:val="en-US"/>
        </w:rPr>
        <w:t xml:space="preserve">The </w:t>
      </w:r>
      <w:r w:rsidRPr="00D9583D">
        <w:rPr>
          <w:sz w:val="22"/>
          <w:szCs w:val="22"/>
          <w:lang w:val="en-US"/>
        </w:rPr>
        <w:t xml:space="preserve">increase in market share of postal services by an average of </w:t>
      </w:r>
      <w:r w:rsidR="00CE4AD9">
        <w:rPr>
          <w:sz w:val="22"/>
          <w:szCs w:val="22"/>
          <w:lang w:val="en-US"/>
        </w:rPr>
        <w:t>4.4</w:t>
      </w:r>
      <w:r w:rsidRPr="00D9583D">
        <w:rPr>
          <w:sz w:val="22"/>
          <w:szCs w:val="22"/>
          <w:lang w:val="en-US"/>
        </w:rPr>
        <w:t>%</w:t>
      </w:r>
      <w:r>
        <w:rPr>
          <w:sz w:val="22"/>
          <w:szCs w:val="22"/>
          <w:lang w:val="en-US"/>
        </w:rPr>
        <w:t xml:space="preserve"> </w:t>
      </w:r>
      <w:r w:rsidR="00AF1A8A" w:rsidRPr="00AF1A8A">
        <w:rPr>
          <w:sz w:val="22"/>
          <w:szCs w:val="22"/>
          <w:lang w:val="en-US"/>
        </w:rPr>
        <w:t xml:space="preserve">(2011– </w:t>
      </w:r>
      <w:r w:rsidR="00AF1A8A">
        <w:rPr>
          <w:sz w:val="22"/>
          <w:szCs w:val="22"/>
          <w:lang w:val="en-US"/>
        </w:rPr>
        <w:t>of</w:t>
      </w:r>
      <w:r w:rsidR="00AF1A8A" w:rsidRPr="00AF1A8A">
        <w:rPr>
          <w:sz w:val="22"/>
          <w:szCs w:val="22"/>
          <w:lang w:val="en-US"/>
        </w:rPr>
        <w:t xml:space="preserve"> 2</w:t>
      </w:r>
      <w:proofErr w:type="gramStart"/>
      <w:r w:rsidR="00AF1A8A" w:rsidRPr="00AF1A8A">
        <w:rPr>
          <w:sz w:val="22"/>
          <w:szCs w:val="22"/>
          <w:lang w:val="en-US"/>
        </w:rPr>
        <w:t>,1</w:t>
      </w:r>
      <w:proofErr w:type="gramEnd"/>
      <w:r w:rsidR="00AF1A8A" w:rsidRPr="00AF1A8A">
        <w:rPr>
          <w:sz w:val="22"/>
          <w:szCs w:val="22"/>
          <w:lang w:val="en-US"/>
        </w:rPr>
        <w:t>%)</w:t>
      </w:r>
      <w:r w:rsidR="00AF1A8A">
        <w:rPr>
          <w:sz w:val="22"/>
          <w:szCs w:val="22"/>
          <w:lang w:val="en-US"/>
        </w:rPr>
        <w:t xml:space="preserve"> </w:t>
      </w:r>
      <w:r>
        <w:rPr>
          <w:sz w:val="22"/>
          <w:szCs w:val="22"/>
          <w:lang w:val="en-US"/>
        </w:rPr>
        <w:t xml:space="preserve">is observed in </w:t>
      </w:r>
      <w:r w:rsidR="00CE4AD9">
        <w:rPr>
          <w:sz w:val="22"/>
          <w:szCs w:val="22"/>
          <w:lang w:val="en-US"/>
        </w:rPr>
        <w:t>H1 2012</w:t>
      </w:r>
      <w:r w:rsidRPr="00D9583D">
        <w:rPr>
          <w:sz w:val="22"/>
          <w:szCs w:val="22"/>
          <w:lang w:val="en-US"/>
        </w:rPr>
        <w:t xml:space="preserve">, </w:t>
      </w:r>
      <w:r>
        <w:rPr>
          <w:sz w:val="22"/>
          <w:szCs w:val="22"/>
          <w:lang w:val="en-US"/>
        </w:rPr>
        <w:t>at that,</w:t>
      </w:r>
      <w:r w:rsidRPr="00D9583D">
        <w:rPr>
          <w:sz w:val="22"/>
          <w:szCs w:val="22"/>
          <w:lang w:val="en-US"/>
        </w:rPr>
        <w:t xml:space="preserve"> the share of the financial services market </w:t>
      </w:r>
      <w:r>
        <w:rPr>
          <w:sz w:val="22"/>
          <w:szCs w:val="22"/>
          <w:lang w:val="en-US"/>
        </w:rPr>
        <w:t xml:space="preserve">has increased </w:t>
      </w:r>
      <w:r w:rsidRPr="00D9583D">
        <w:rPr>
          <w:sz w:val="22"/>
          <w:szCs w:val="22"/>
          <w:lang w:val="en-US"/>
        </w:rPr>
        <w:t xml:space="preserve">by </w:t>
      </w:r>
      <w:r w:rsidR="00CE4AD9">
        <w:rPr>
          <w:sz w:val="22"/>
          <w:szCs w:val="22"/>
          <w:lang w:val="en-US"/>
        </w:rPr>
        <w:t>12.3</w:t>
      </w:r>
      <w:r w:rsidRPr="00D9583D">
        <w:rPr>
          <w:sz w:val="22"/>
          <w:szCs w:val="22"/>
          <w:lang w:val="en-US"/>
        </w:rPr>
        <w:t>%</w:t>
      </w:r>
      <w:r w:rsidR="00AF1A8A">
        <w:rPr>
          <w:sz w:val="22"/>
          <w:szCs w:val="22"/>
          <w:lang w:val="en-US"/>
        </w:rPr>
        <w:t xml:space="preserve"> </w:t>
      </w:r>
      <w:r w:rsidR="00AF1A8A" w:rsidRPr="00AF1A8A">
        <w:rPr>
          <w:sz w:val="22"/>
          <w:szCs w:val="22"/>
          <w:lang w:val="en-US"/>
        </w:rPr>
        <w:t>(2011-</w:t>
      </w:r>
      <w:r w:rsidR="00AF1A8A">
        <w:rPr>
          <w:sz w:val="22"/>
          <w:szCs w:val="22"/>
          <w:lang w:val="en-US"/>
        </w:rPr>
        <w:t xml:space="preserve"> </w:t>
      </w:r>
      <w:r w:rsidR="006E38AC">
        <w:rPr>
          <w:sz w:val="22"/>
          <w:szCs w:val="22"/>
          <w:lang w:val="en-US"/>
        </w:rPr>
        <w:t xml:space="preserve">of </w:t>
      </w:r>
      <w:r w:rsidR="00AF1A8A" w:rsidRPr="00AF1A8A">
        <w:rPr>
          <w:sz w:val="22"/>
          <w:szCs w:val="22"/>
          <w:lang w:val="en-US"/>
        </w:rPr>
        <w:t>69%)</w:t>
      </w:r>
      <w:r w:rsidRPr="00D9583D">
        <w:rPr>
          <w:sz w:val="22"/>
          <w:szCs w:val="22"/>
          <w:lang w:val="en-US"/>
        </w:rPr>
        <w:t xml:space="preserve">, due to increasing </w:t>
      </w:r>
      <w:r>
        <w:rPr>
          <w:sz w:val="22"/>
          <w:szCs w:val="22"/>
          <w:lang w:val="en-US"/>
        </w:rPr>
        <w:t xml:space="preserve">the </w:t>
      </w:r>
      <w:r w:rsidRPr="00D9583D">
        <w:rPr>
          <w:sz w:val="22"/>
          <w:szCs w:val="22"/>
          <w:lang w:val="en-US"/>
        </w:rPr>
        <w:t>client base.</w:t>
      </w:r>
    </w:p>
    <w:p w:rsidR="002664E4" w:rsidRPr="00D9583D" w:rsidRDefault="00965748" w:rsidP="002664E4">
      <w:pPr>
        <w:pStyle w:val="a3"/>
        <w:tabs>
          <w:tab w:val="left" w:pos="426"/>
          <w:tab w:val="left" w:pos="2127"/>
        </w:tabs>
        <w:autoSpaceDE w:val="0"/>
        <w:autoSpaceDN w:val="0"/>
        <w:adjustRightInd w:val="0"/>
        <w:spacing w:after="200"/>
        <w:ind w:left="-567" w:firstLine="709"/>
        <w:jc w:val="both"/>
        <w:rPr>
          <w:sz w:val="22"/>
          <w:szCs w:val="22"/>
          <w:lang w:val="en-US"/>
        </w:rPr>
      </w:pPr>
      <w:r>
        <w:rPr>
          <w:sz w:val="22"/>
          <w:szCs w:val="22"/>
          <w:lang w:val="en-US"/>
        </w:rPr>
        <w:t xml:space="preserve">In the postal field </w:t>
      </w:r>
      <w:proofErr w:type="spellStart"/>
      <w:r w:rsidR="002664E4" w:rsidRPr="00D9583D">
        <w:rPr>
          <w:sz w:val="22"/>
          <w:szCs w:val="22"/>
          <w:lang w:val="en-US"/>
        </w:rPr>
        <w:t>Kazpost</w:t>
      </w:r>
      <w:proofErr w:type="spellEnd"/>
      <w:r w:rsidR="002664E4" w:rsidRPr="00D9583D">
        <w:rPr>
          <w:sz w:val="22"/>
          <w:szCs w:val="22"/>
          <w:lang w:val="en-US"/>
        </w:rPr>
        <w:t xml:space="preserve"> provides services for sending letters and parcels and expedited </w:t>
      </w:r>
      <w:r w:rsidR="002664E4">
        <w:rPr>
          <w:sz w:val="22"/>
          <w:szCs w:val="22"/>
          <w:lang w:val="en-US"/>
        </w:rPr>
        <w:t xml:space="preserve">and </w:t>
      </w:r>
      <w:r w:rsidR="002664E4" w:rsidRPr="00D9583D">
        <w:rPr>
          <w:sz w:val="22"/>
          <w:szCs w:val="22"/>
          <w:lang w:val="en-US"/>
        </w:rPr>
        <w:t>courier</w:t>
      </w:r>
      <w:r w:rsidR="002664E4">
        <w:rPr>
          <w:sz w:val="22"/>
          <w:szCs w:val="22"/>
          <w:lang w:val="en-US"/>
        </w:rPr>
        <w:t xml:space="preserve"> mail</w:t>
      </w:r>
      <w:r w:rsidR="002664E4" w:rsidRPr="00D9583D">
        <w:rPr>
          <w:sz w:val="22"/>
          <w:szCs w:val="22"/>
          <w:lang w:val="en-US"/>
        </w:rPr>
        <w:t xml:space="preserve">, postal transfers of money, distribution of printed materials. In the area of ​​financial and banking services </w:t>
      </w:r>
      <w:proofErr w:type="spellStart"/>
      <w:r w:rsidR="002664E4" w:rsidRPr="00D9583D">
        <w:rPr>
          <w:sz w:val="22"/>
          <w:szCs w:val="22"/>
          <w:lang w:val="en-US"/>
        </w:rPr>
        <w:t>Kazpost</w:t>
      </w:r>
      <w:proofErr w:type="spellEnd"/>
      <w:r w:rsidR="002664E4" w:rsidRPr="00D9583D">
        <w:rPr>
          <w:sz w:val="22"/>
          <w:szCs w:val="22"/>
          <w:lang w:val="en-US"/>
        </w:rPr>
        <w:t xml:space="preserve"> provides services such as currency exchange transactions, deposits, payments, cash management services, collection and transportation of money and valuables, brokerage services in the securities market, electronic money transfers, </w:t>
      </w:r>
      <w:r w:rsidR="002664E4">
        <w:rPr>
          <w:sz w:val="22"/>
          <w:szCs w:val="22"/>
          <w:lang w:val="en-US"/>
        </w:rPr>
        <w:t xml:space="preserve"> </w:t>
      </w:r>
      <w:r w:rsidR="00CE4AD9">
        <w:rPr>
          <w:sz w:val="22"/>
          <w:szCs w:val="22"/>
          <w:lang w:val="en-US"/>
        </w:rPr>
        <w:t>transfer agent’</w:t>
      </w:r>
      <w:r w:rsidR="002664E4" w:rsidRPr="00D9583D">
        <w:rPr>
          <w:sz w:val="22"/>
          <w:szCs w:val="22"/>
          <w:lang w:val="en-US"/>
        </w:rPr>
        <w:t xml:space="preserve">s activities and etc. In the area of ​​agency services </w:t>
      </w:r>
      <w:r w:rsidR="002664E4">
        <w:rPr>
          <w:sz w:val="22"/>
          <w:szCs w:val="22"/>
          <w:lang w:val="en-US"/>
        </w:rPr>
        <w:t>the</w:t>
      </w:r>
      <w:r w:rsidR="002664E4" w:rsidRPr="00D9583D">
        <w:rPr>
          <w:sz w:val="22"/>
          <w:szCs w:val="22"/>
          <w:lang w:val="en-US"/>
        </w:rPr>
        <w:t xml:space="preserve"> active development </w:t>
      </w:r>
      <w:r w:rsidR="002664E4">
        <w:rPr>
          <w:sz w:val="22"/>
          <w:szCs w:val="22"/>
          <w:lang w:val="en-US"/>
        </w:rPr>
        <w:t xml:space="preserve">received </w:t>
      </w:r>
      <w:r w:rsidR="002664E4" w:rsidRPr="00D9583D">
        <w:rPr>
          <w:sz w:val="22"/>
          <w:szCs w:val="22"/>
          <w:lang w:val="en-US"/>
        </w:rPr>
        <w:t xml:space="preserve">consumer credit services </w:t>
      </w:r>
      <w:r w:rsidR="002664E4">
        <w:rPr>
          <w:sz w:val="22"/>
          <w:szCs w:val="22"/>
          <w:lang w:val="en-US"/>
        </w:rPr>
        <w:t xml:space="preserve"> </w:t>
      </w:r>
      <w:r w:rsidR="002664E4" w:rsidRPr="00D9583D">
        <w:rPr>
          <w:sz w:val="22"/>
          <w:szCs w:val="22"/>
          <w:lang w:val="en-US"/>
        </w:rPr>
        <w:t xml:space="preserve"> provided by </w:t>
      </w:r>
      <w:r w:rsidR="002664E4">
        <w:rPr>
          <w:sz w:val="22"/>
          <w:szCs w:val="22"/>
          <w:lang w:val="en-US"/>
        </w:rPr>
        <w:t xml:space="preserve">second-tier </w:t>
      </w:r>
      <w:r w:rsidR="002664E4" w:rsidRPr="00D9583D">
        <w:rPr>
          <w:sz w:val="22"/>
          <w:szCs w:val="22"/>
          <w:lang w:val="en-US"/>
        </w:rPr>
        <w:t>banks.</w:t>
      </w:r>
    </w:p>
    <w:p w:rsidR="006E38AC" w:rsidRDefault="002664E4" w:rsidP="006E38AC">
      <w:pPr>
        <w:pStyle w:val="a3"/>
        <w:tabs>
          <w:tab w:val="left" w:pos="426"/>
          <w:tab w:val="left" w:pos="2127"/>
        </w:tabs>
        <w:autoSpaceDE w:val="0"/>
        <w:autoSpaceDN w:val="0"/>
        <w:adjustRightInd w:val="0"/>
        <w:spacing w:after="200"/>
        <w:ind w:left="-567" w:firstLine="709"/>
        <w:jc w:val="both"/>
        <w:rPr>
          <w:sz w:val="22"/>
          <w:szCs w:val="22"/>
          <w:lang w:val="en-US"/>
        </w:rPr>
      </w:pPr>
      <w:proofErr w:type="spellStart"/>
      <w:r w:rsidRPr="00D9583D">
        <w:rPr>
          <w:sz w:val="22"/>
          <w:szCs w:val="22"/>
          <w:lang w:val="en-US"/>
        </w:rPr>
        <w:t>Kazpost</w:t>
      </w:r>
      <w:proofErr w:type="spellEnd"/>
      <w:r w:rsidRPr="00D9583D">
        <w:rPr>
          <w:sz w:val="22"/>
          <w:szCs w:val="22"/>
          <w:lang w:val="en-US"/>
        </w:rPr>
        <w:t xml:space="preserve"> has an extensive branch network in regions, districts and villages; the </w:t>
      </w:r>
      <w:r>
        <w:rPr>
          <w:sz w:val="22"/>
          <w:szCs w:val="22"/>
          <w:lang w:val="en-US"/>
        </w:rPr>
        <w:t xml:space="preserve">assets </w:t>
      </w:r>
      <w:r w:rsidRPr="00D9583D">
        <w:rPr>
          <w:sz w:val="22"/>
          <w:szCs w:val="22"/>
          <w:lang w:val="en-US"/>
        </w:rPr>
        <w:t xml:space="preserve">structure </w:t>
      </w:r>
      <w:r>
        <w:rPr>
          <w:sz w:val="22"/>
          <w:szCs w:val="22"/>
          <w:lang w:val="en-US"/>
        </w:rPr>
        <w:t>includes</w:t>
      </w:r>
      <w:r w:rsidRPr="00D9583D">
        <w:rPr>
          <w:sz w:val="22"/>
          <w:szCs w:val="22"/>
          <w:lang w:val="en-US"/>
        </w:rPr>
        <w:t xml:space="preserve"> </w:t>
      </w:r>
      <w:r>
        <w:rPr>
          <w:sz w:val="22"/>
          <w:szCs w:val="22"/>
          <w:lang w:val="en-US"/>
        </w:rPr>
        <w:t>3</w:t>
      </w:r>
      <w:r w:rsidRPr="00D9583D">
        <w:rPr>
          <w:sz w:val="22"/>
          <w:szCs w:val="22"/>
          <w:lang w:val="en-US"/>
        </w:rPr>
        <w:t xml:space="preserve"> companies on 2 levels.</w:t>
      </w:r>
    </w:p>
    <w:p w:rsidR="002664E4" w:rsidRPr="0077532A" w:rsidRDefault="002664E4" w:rsidP="006E38AC">
      <w:pPr>
        <w:pStyle w:val="a3"/>
        <w:tabs>
          <w:tab w:val="left" w:pos="426"/>
          <w:tab w:val="left" w:pos="2127"/>
        </w:tabs>
        <w:autoSpaceDE w:val="0"/>
        <w:autoSpaceDN w:val="0"/>
        <w:adjustRightInd w:val="0"/>
        <w:spacing w:after="200"/>
        <w:ind w:left="-567" w:firstLine="709"/>
        <w:jc w:val="both"/>
        <w:rPr>
          <w:sz w:val="22"/>
          <w:szCs w:val="22"/>
          <w:lang w:val="en-US"/>
        </w:rPr>
      </w:pPr>
      <w:r w:rsidRPr="0077532A">
        <w:rPr>
          <w:bCs/>
          <w:sz w:val="22"/>
          <w:szCs w:val="22"/>
          <w:lang w:val="en-US"/>
        </w:rPr>
        <w:t xml:space="preserve">We note the </w:t>
      </w:r>
      <w:r w:rsidRPr="00945752">
        <w:rPr>
          <w:b/>
          <w:color w:val="000000"/>
          <w:sz w:val="22"/>
          <w:szCs w:val="22"/>
          <w:lang w:val="en-US"/>
        </w:rPr>
        <w:t>following significant events</w:t>
      </w:r>
      <w:r w:rsidRPr="0077532A">
        <w:rPr>
          <w:sz w:val="22"/>
          <w:szCs w:val="22"/>
          <w:lang w:val="en-US"/>
        </w:rPr>
        <w:t>:</w:t>
      </w:r>
    </w:p>
    <w:p w:rsidR="00CD084C" w:rsidRPr="00CD084C" w:rsidRDefault="002664E4"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D9583D">
        <w:rPr>
          <w:sz w:val="22"/>
          <w:szCs w:val="22"/>
          <w:lang w:val="en-US"/>
        </w:rPr>
        <w:t xml:space="preserve">1) </w:t>
      </w:r>
      <w:r w:rsidR="00CD084C">
        <w:rPr>
          <w:sz w:val="22"/>
          <w:szCs w:val="22"/>
          <w:lang w:val="en-US"/>
        </w:rPr>
        <w:t xml:space="preserve">On </w:t>
      </w:r>
      <w:r w:rsidR="00CD084C" w:rsidRPr="00CD084C">
        <w:rPr>
          <w:sz w:val="22"/>
          <w:szCs w:val="22"/>
          <w:lang w:val="en-US"/>
        </w:rPr>
        <w:t xml:space="preserve">March 15, 2012 </w:t>
      </w:r>
      <w:r w:rsidR="00CD084C">
        <w:rPr>
          <w:sz w:val="22"/>
          <w:szCs w:val="22"/>
          <w:lang w:val="en-US"/>
        </w:rPr>
        <w:t>“</w:t>
      </w:r>
      <w:proofErr w:type="spellStart"/>
      <w:r w:rsidR="00CD084C">
        <w:rPr>
          <w:sz w:val="22"/>
          <w:szCs w:val="22"/>
          <w:lang w:val="en-US"/>
        </w:rPr>
        <w:t>Kazpost</w:t>
      </w:r>
      <w:proofErr w:type="spellEnd"/>
      <w:r w:rsidR="00CD084C">
        <w:rPr>
          <w:sz w:val="22"/>
          <w:szCs w:val="22"/>
          <w:lang w:val="en-US"/>
        </w:rPr>
        <w:t>” JSC</w:t>
      </w:r>
      <w:r w:rsidR="00CD084C" w:rsidRPr="00CD084C">
        <w:rPr>
          <w:sz w:val="22"/>
          <w:szCs w:val="22"/>
          <w:lang w:val="en-US"/>
        </w:rPr>
        <w:t xml:space="preserve"> and the Islamic Bank </w:t>
      </w:r>
      <w:r w:rsidR="00CD084C">
        <w:rPr>
          <w:sz w:val="22"/>
          <w:szCs w:val="22"/>
          <w:lang w:val="en-US"/>
        </w:rPr>
        <w:t>“</w:t>
      </w:r>
      <w:r w:rsidR="00CD084C" w:rsidRPr="00CD084C">
        <w:rPr>
          <w:sz w:val="22"/>
          <w:szCs w:val="22"/>
          <w:lang w:val="en-US"/>
        </w:rPr>
        <w:t>Al-</w:t>
      </w:r>
      <w:proofErr w:type="spellStart"/>
      <w:r w:rsidR="00CD084C" w:rsidRPr="00CD084C">
        <w:rPr>
          <w:sz w:val="22"/>
          <w:szCs w:val="22"/>
          <w:lang w:val="en-US"/>
        </w:rPr>
        <w:t>Hilal</w:t>
      </w:r>
      <w:proofErr w:type="spellEnd"/>
      <w:r w:rsidR="00CD084C">
        <w:rPr>
          <w:sz w:val="22"/>
          <w:szCs w:val="22"/>
          <w:lang w:val="en-US"/>
        </w:rPr>
        <w:t>”</w:t>
      </w:r>
      <w:r w:rsidR="00CD084C" w:rsidRPr="00CD084C">
        <w:rPr>
          <w:sz w:val="22"/>
          <w:szCs w:val="22"/>
          <w:lang w:val="en-US"/>
        </w:rPr>
        <w:t xml:space="preserve"> signed a general agreement for KZT 1.5 billion at 7% per annum for five years to fund inv</w:t>
      </w:r>
      <w:r w:rsidR="00261E43">
        <w:rPr>
          <w:sz w:val="22"/>
          <w:szCs w:val="22"/>
          <w:lang w:val="en-US"/>
        </w:rPr>
        <w:t>estment projects and maintain</w:t>
      </w:r>
      <w:r w:rsidR="00CD084C" w:rsidRPr="00CD084C">
        <w:rPr>
          <w:sz w:val="22"/>
          <w:szCs w:val="22"/>
          <w:lang w:val="en-US"/>
        </w:rPr>
        <w:t xml:space="preserve"> productive assets;</w:t>
      </w:r>
    </w:p>
    <w:p w:rsidR="00CD084C" w:rsidRPr="00CD084C" w:rsidRDefault="00CD084C"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CD084C">
        <w:rPr>
          <w:sz w:val="22"/>
          <w:szCs w:val="22"/>
          <w:lang w:val="en-US"/>
        </w:rPr>
        <w:t xml:space="preserve">2) </w:t>
      </w:r>
      <w:proofErr w:type="gramStart"/>
      <w:r w:rsidRPr="00CD084C">
        <w:rPr>
          <w:sz w:val="22"/>
          <w:szCs w:val="22"/>
          <w:lang w:val="en-US"/>
        </w:rPr>
        <w:t>project</w:t>
      </w:r>
      <w:proofErr w:type="gramEnd"/>
      <w:r w:rsidRPr="00CD084C">
        <w:rPr>
          <w:sz w:val="22"/>
          <w:szCs w:val="22"/>
          <w:lang w:val="en-US"/>
        </w:rPr>
        <w:t xml:space="preserve"> </w:t>
      </w:r>
      <w:r w:rsidR="00261E43">
        <w:rPr>
          <w:sz w:val="22"/>
          <w:szCs w:val="22"/>
          <w:lang w:val="en-US"/>
        </w:rPr>
        <w:t xml:space="preserve">on </w:t>
      </w:r>
      <w:r w:rsidRPr="00CD084C">
        <w:rPr>
          <w:sz w:val="22"/>
          <w:szCs w:val="22"/>
          <w:lang w:val="en-US"/>
        </w:rPr>
        <w:t>online banking for businesses and new types of financial services</w:t>
      </w:r>
      <w:r w:rsidR="00261E43" w:rsidRPr="00261E43">
        <w:rPr>
          <w:sz w:val="22"/>
          <w:szCs w:val="22"/>
          <w:lang w:val="en-US"/>
        </w:rPr>
        <w:t xml:space="preserve"> </w:t>
      </w:r>
      <w:r w:rsidR="00261E43">
        <w:rPr>
          <w:sz w:val="22"/>
          <w:szCs w:val="22"/>
          <w:lang w:val="en-US"/>
        </w:rPr>
        <w:t xml:space="preserve">was </w:t>
      </w:r>
      <w:r w:rsidR="00261E43" w:rsidRPr="00CD084C">
        <w:rPr>
          <w:sz w:val="22"/>
          <w:szCs w:val="22"/>
          <w:lang w:val="en-US"/>
        </w:rPr>
        <w:t>implement</w:t>
      </w:r>
      <w:r w:rsidR="00261E43">
        <w:rPr>
          <w:sz w:val="22"/>
          <w:szCs w:val="22"/>
          <w:lang w:val="en-US"/>
        </w:rPr>
        <w:t>ed: “</w:t>
      </w:r>
      <w:r w:rsidRPr="00CD084C">
        <w:rPr>
          <w:sz w:val="22"/>
          <w:szCs w:val="22"/>
          <w:lang w:val="en-US"/>
        </w:rPr>
        <w:t>Payment</w:t>
      </w:r>
      <w:r w:rsidR="00261E43">
        <w:rPr>
          <w:sz w:val="22"/>
          <w:szCs w:val="22"/>
          <w:lang w:val="en-US"/>
        </w:rPr>
        <w:t>s</w:t>
      </w:r>
      <w:r w:rsidRPr="00CD084C">
        <w:rPr>
          <w:sz w:val="22"/>
          <w:szCs w:val="22"/>
          <w:lang w:val="en-US"/>
        </w:rPr>
        <w:t xml:space="preserve"> through self-service terminals</w:t>
      </w:r>
      <w:r w:rsidR="00261E43">
        <w:rPr>
          <w:sz w:val="22"/>
          <w:szCs w:val="22"/>
          <w:lang w:val="en-US"/>
        </w:rPr>
        <w:t>”,</w:t>
      </w:r>
      <w:r w:rsidRPr="00CD084C">
        <w:rPr>
          <w:sz w:val="22"/>
          <w:szCs w:val="22"/>
          <w:lang w:val="en-US"/>
        </w:rPr>
        <w:t xml:space="preserve"> </w:t>
      </w:r>
      <w:r w:rsidR="00261E43">
        <w:rPr>
          <w:sz w:val="22"/>
          <w:szCs w:val="22"/>
          <w:lang w:val="en-US"/>
        </w:rPr>
        <w:t>“</w:t>
      </w:r>
      <w:r w:rsidRPr="00CD084C">
        <w:rPr>
          <w:sz w:val="22"/>
          <w:szCs w:val="22"/>
          <w:lang w:val="en-US"/>
        </w:rPr>
        <w:t>Insurance Agency Services</w:t>
      </w:r>
      <w:r w:rsidR="00261E43">
        <w:rPr>
          <w:sz w:val="22"/>
          <w:szCs w:val="22"/>
          <w:lang w:val="en-US"/>
        </w:rPr>
        <w:t>”</w:t>
      </w:r>
      <w:r w:rsidRPr="00CD084C">
        <w:rPr>
          <w:sz w:val="22"/>
          <w:szCs w:val="22"/>
          <w:lang w:val="en-US"/>
        </w:rPr>
        <w:t>;</w:t>
      </w:r>
    </w:p>
    <w:p w:rsidR="00CD084C" w:rsidRPr="00CD084C" w:rsidRDefault="00CD084C"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CD084C">
        <w:rPr>
          <w:sz w:val="22"/>
          <w:szCs w:val="22"/>
          <w:lang w:val="en-US"/>
        </w:rPr>
        <w:t xml:space="preserve">3) </w:t>
      </w:r>
      <w:proofErr w:type="gramStart"/>
      <w:r w:rsidRPr="00CD084C">
        <w:rPr>
          <w:sz w:val="22"/>
          <w:szCs w:val="22"/>
          <w:lang w:val="en-US"/>
        </w:rPr>
        <w:t>two</w:t>
      </w:r>
      <w:proofErr w:type="gramEnd"/>
      <w:r w:rsidRPr="00CD084C">
        <w:rPr>
          <w:sz w:val="22"/>
          <w:szCs w:val="22"/>
          <w:lang w:val="en-US"/>
        </w:rPr>
        <w:t xml:space="preserve"> specialized production facility</w:t>
      </w:r>
      <w:r w:rsidR="00261E43">
        <w:rPr>
          <w:sz w:val="22"/>
          <w:szCs w:val="22"/>
          <w:lang w:val="en-US"/>
        </w:rPr>
        <w:t xml:space="preserve"> were created</w:t>
      </w:r>
      <w:r w:rsidRPr="00CD084C">
        <w:rPr>
          <w:sz w:val="22"/>
          <w:szCs w:val="22"/>
          <w:lang w:val="en-US"/>
        </w:rPr>
        <w:t>;</w:t>
      </w:r>
    </w:p>
    <w:p w:rsidR="00CD084C" w:rsidRPr="00CD084C" w:rsidRDefault="00CD084C"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CD084C">
        <w:rPr>
          <w:sz w:val="22"/>
          <w:szCs w:val="22"/>
          <w:lang w:val="en-US"/>
        </w:rPr>
        <w:t xml:space="preserve">4) </w:t>
      </w:r>
      <w:r w:rsidR="00261E43">
        <w:rPr>
          <w:sz w:val="22"/>
          <w:szCs w:val="22"/>
          <w:lang w:val="en-US"/>
        </w:rPr>
        <w:t xml:space="preserve">On </w:t>
      </w:r>
      <w:r w:rsidRPr="00CD084C">
        <w:rPr>
          <w:sz w:val="22"/>
          <w:szCs w:val="22"/>
          <w:lang w:val="en-US"/>
        </w:rPr>
        <w:t xml:space="preserve">May 24, 2012 Memorandum of Understanding between </w:t>
      </w:r>
      <w:r w:rsidR="00261E43">
        <w:rPr>
          <w:sz w:val="22"/>
          <w:szCs w:val="22"/>
          <w:lang w:val="en-US"/>
        </w:rPr>
        <w:t>“</w:t>
      </w:r>
      <w:proofErr w:type="spellStart"/>
      <w:r w:rsidRPr="00CD084C">
        <w:rPr>
          <w:sz w:val="22"/>
          <w:szCs w:val="22"/>
          <w:lang w:val="en-US"/>
        </w:rPr>
        <w:t>Kazpost</w:t>
      </w:r>
      <w:proofErr w:type="spellEnd"/>
      <w:r w:rsidR="00261E43">
        <w:rPr>
          <w:sz w:val="22"/>
          <w:szCs w:val="22"/>
          <w:lang w:val="en-US"/>
        </w:rPr>
        <w:t>” JSC</w:t>
      </w:r>
      <w:r w:rsidRPr="00CD084C">
        <w:rPr>
          <w:sz w:val="22"/>
          <w:szCs w:val="22"/>
          <w:lang w:val="en-US"/>
        </w:rPr>
        <w:t xml:space="preserve"> and PT POS Indonesia</w:t>
      </w:r>
      <w:r w:rsidR="00261E43">
        <w:rPr>
          <w:sz w:val="22"/>
          <w:szCs w:val="22"/>
          <w:lang w:val="en-US"/>
        </w:rPr>
        <w:t xml:space="preserve"> was signed</w:t>
      </w:r>
      <w:r w:rsidRPr="00CD084C">
        <w:rPr>
          <w:sz w:val="22"/>
          <w:szCs w:val="22"/>
          <w:lang w:val="en-US"/>
        </w:rPr>
        <w:t>;</w:t>
      </w:r>
      <w:r w:rsidR="009D5C48" w:rsidRPr="009D5C48">
        <w:rPr>
          <w:sz w:val="22"/>
          <w:szCs w:val="22"/>
          <w:lang w:val="en-US"/>
        </w:rPr>
        <w:t xml:space="preserve"> </w:t>
      </w:r>
    </w:p>
    <w:p w:rsidR="00CD084C" w:rsidRPr="00CD084C" w:rsidRDefault="00CD084C"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CD084C">
        <w:rPr>
          <w:sz w:val="22"/>
          <w:szCs w:val="22"/>
          <w:lang w:val="en-US"/>
        </w:rPr>
        <w:t xml:space="preserve">5) </w:t>
      </w:r>
      <w:r w:rsidR="009D5C48">
        <w:rPr>
          <w:sz w:val="22"/>
          <w:szCs w:val="22"/>
          <w:lang w:val="en-US"/>
        </w:rPr>
        <w:t>I</w:t>
      </w:r>
      <w:r w:rsidR="009D5C48" w:rsidRPr="00CD084C">
        <w:rPr>
          <w:sz w:val="22"/>
          <w:szCs w:val="22"/>
          <w:lang w:val="en-US"/>
        </w:rPr>
        <w:t xml:space="preserve">nternational conference </w:t>
      </w:r>
      <w:r w:rsidR="009D5C48">
        <w:rPr>
          <w:sz w:val="22"/>
          <w:szCs w:val="22"/>
          <w:lang w:val="en-US"/>
        </w:rPr>
        <w:t>“T</w:t>
      </w:r>
      <w:r w:rsidR="009D5C48" w:rsidRPr="00CD084C">
        <w:rPr>
          <w:sz w:val="22"/>
          <w:szCs w:val="22"/>
          <w:lang w:val="en-US"/>
        </w:rPr>
        <w:t>rade mission</w:t>
      </w:r>
      <w:r w:rsidR="009D5C48">
        <w:rPr>
          <w:sz w:val="22"/>
          <w:szCs w:val="22"/>
          <w:lang w:val="en-US"/>
        </w:rPr>
        <w:t>” was held</w:t>
      </w:r>
      <w:r w:rsidR="009D5C48" w:rsidRPr="00CD084C">
        <w:rPr>
          <w:sz w:val="22"/>
          <w:szCs w:val="22"/>
          <w:lang w:val="en-US"/>
        </w:rPr>
        <w:t xml:space="preserve"> </w:t>
      </w:r>
      <w:r w:rsidRPr="00CD084C">
        <w:rPr>
          <w:sz w:val="22"/>
          <w:szCs w:val="22"/>
          <w:lang w:val="en-US"/>
        </w:rPr>
        <w:t>under the government program for the development of trade in the Republic of Kazakhstan for 2010-2014;</w:t>
      </w:r>
    </w:p>
    <w:p w:rsidR="002664E4" w:rsidRDefault="00CD084C" w:rsidP="00CD084C">
      <w:pPr>
        <w:pStyle w:val="a3"/>
        <w:tabs>
          <w:tab w:val="left" w:pos="426"/>
          <w:tab w:val="left" w:pos="993"/>
          <w:tab w:val="left" w:pos="1134"/>
          <w:tab w:val="left" w:pos="2127"/>
        </w:tabs>
        <w:autoSpaceDE w:val="0"/>
        <w:autoSpaceDN w:val="0"/>
        <w:adjustRightInd w:val="0"/>
        <w:spacing w:after="200"/>
        <w:ind w:left="-567" w:firstLine="709"/>
        <w:jc w:val="both"/>
        <w:rPr>
          <w:sz w:val="22"/>
          <w:szCs w:val="22"/>
          <w:lang w:val="en-US"/>
        </w:rPr>
      </w:pPr>
      <w:r w:rsidRPr="00CD084C">
        <w:rPr>
          <w:sz w:val="22"/>
          <w:szCs w:val="22"/>
          <w:lang w:val="en-US"/>
        </w:rPr>
        <w:t xml:space="preserve">6) Laboratory of promising technologies </w:t>
      </w:r>
      <w:r w:rsidR="009D5C48">
        <w:rPr>
          <w:sz w:val="22"/>
          <w:szCs w:val="22"/>
          <w:lang w:val="en-US"/>
        </w:rPr>
        <w:t xml:space="preserve">was </w:t>
      </w:r>
      <w:r w:rsidRPr="00CD084C">
        <w:rPr>
          <w:sz w:val="22"/>
          <w:szCs w:val="22"/>
          <w:lang w:val="en-US"/>
        </w:rPr>
        <w:t>de</w:t>
      </w:r>
      <w:r w:rsidR="009D5C48">
        <w:rPr>
          <w:sz w:val="22"/>
          <w:szCs w:val="22"/>
          <w:lang w:val="en-US"/>
        </w:rPr>
        <w:t>veloped within the Action Plan of “</w:t>
      </w:r>
      <w:proofErr w:type="spellStart"/>
      <w:r w:rsidR="009D5C48">
        <w:rPr>
          <w:sz w:val="22"/>
          <w:szCs w:val="22"/>
          <w:lang w:val="en-US"/>
        </w:rPr>
        <w:t>K</w:t>
      </w:r>
      <w:r w:rsidRPr="00CD084C">
        <w:rPr>
          <w:sz w:val="22"/>
          <w:szCs w:val="22"/>
          <w:lang w:val="en-US"/>
        </w:rPr>
        <w:t>azpost</w:t>
      </w:r>
      <w:proofErr w:type="spellEnd"/>
      <w:r w:rsidR="009D5C48">
        <w:rPr>
          <w:sz w:val="22"/>
          <w:szCs w:val="22"/>
          <w:lang w:val="en-US"/>
        </w:rPr>
        <w:t>” JSC</w:t>
      </w:r>
      <w:r w:rsidRPr="00CD084C">
        <w:rPr>
          <w:sz w:val="22"/>
          <w:szCs w:val="22"/>
          <w:lang w:val="en-US"/>
        </w:rPr>
        <w:t xml:space="preserve"> on implementing</w:t>
      </w:r>
      <w:r w:rsidR="009D5C48">
        <w:rPr>
          <w:sz w:val="22"/>
          <w:szCs w:val="22"/>
          <w:lang w:val="en-US"/>
        </w:rPr>
        <w:t xml:space="preserve"> the Innovative strategy</w:t>
      </w:r>
      <w:r w:rsidRPr="00CD084C">
        <w:rPr>
          <w:sz w:val="22"/>
          <w:szCs w:val="22"/>
          <w:lang w:val="en-US"/>
        </w:rPr>
        <w:t>.</w:t>
      </w:r>
    </w:p>
    <w:p w:rsidR="002664E4" w:rsidRPr="00A973D8" w:rsidRDefault="002664E4" w:rsidP="00A973D8">
      <w:pPr>
        <w:ind w:left="-567" w:firstLine="709"/>
        <w:jc w:val="both"/>
        <w:rPr>
          <w:color w:val="1F497D"/>
          <w:lang w:val="en-US"/>
        </w:rPr>
      </w:pPr>
      <w:r w:rsidRPr="00102BA4">
        <w:rPr>
          <w:sz w:val="22"/>
          <w:szCs w:val="22"/>
          <w:lang w:val="en-US"/>
        </w:rPr>
        <w:t>“</w:t>
      </w:r>
      <w:r>
        <w:rPr>
          <w:b/>
          <w:sz w:val="22"/>
          <w:szCs w:val="22"/>
          <w:lang w:val="en-US"/>
        </w:rPr>
        <w:t xml:space="preserve">Financial Institutes and Development Institutes” </w:t>
      </w:r>
      <w:r w:rsidRPr="00965748">
        <w:rPr>
          <w:sz w:val="22"/>
          <w:szCs w:val="22"/>
          <w:lang w:val="en-US"/>
        </w:rPr>
        <w:t>Segment</w:t>
      </w:r>
      <w:r>
        <w:rPr>
          <w:b/>
          <w:sz w:val="22"/>
          <w:szCs w:val="22"/>
          <w:lang w:val="en-US"/>
        </w:rPr>
        <w:t xml:space="preserve"> </w:t>
      </w:r>
      <w:r w:rsidRPr="00102BA4">
        <w:rPr>
          <w:sz w:val="22"/>
          <w:szCs w:val="22"/>
          <w:lang w:val="en-US"/>
        </w:rPr>
        <w:t xml:space="preserve">is </w:t>
      </w:r>
      <w:r>
        <w:rPr>
          <w:sz w:val="22"/>
          <w:szCs w:val="22"/>
          <w:lang w:val="en-US"/>
        </w:rPr>
        <w:t>represented by the Fund’s Companies</w:t>
      </w:r>
      <w:r w:rsidRPr="00102BA4">
        <w:rPr>
          <w:color w:val="000000"/>
          <w:sz w:val="22"/>
          <w:szCs w:val="22"/>
          <w:lang w:val="en-US"/>
        </w:rPr>
        <w:t xml:space="preserve">: </w:t>
      </w:r>
      <w:r>
        <w:rPr>
          <w:color w:val="000000"/>
          <w:sz w:val="22"/>
          <w:szCs w:val="22"/>
          <w:lang w:val="en-US"/>
        </w:rPr>
        <w:t>“Development Bank of Kazakhstan” JSC</w:t>
      </w:r>
      <w:r w:rsidRPr="00102BA4">
        <w:rPr>
          <w:color w:val="000000"/>
          <w:sz w:val="22"/>
          <w:szCs w:val="22"/>
          <w:lang w:val="en-US"/>
        </w:rPr>
        <w:t xml:space="preserve">,  </w:t>
      </w:r>
      <w:r>
        <w:rPr>
          <w:color w:val="000000"/>
          <w:sz w:val="22"/>
          <w:szCs w:val="22"/>
          <w:lang w:val="en-US"/>
        </w:rPr>
        <w:t>“Entrepreneurship Development Fund “</w:t>
      </w:r>
      <w:proofErr w:type="spellStart"/>
      <w:r>
        <w:rPr>
          <w:color w:val="000000"/>
          <w:sz w:val="22"/>
          <w:szCs w:val="22"/>
          <w:lang w:val="en-US"/>
        </w:rPr>
        <w:t>Damu</w:t>
      </w:r>
      <w:proofErr w:type="spellEnd"/>
      <w:r>
        <w:rPr>
          <w:color w:val="000000"/>
          <w:sz w:val="22"/>
          <w:szCs w:val="22"/>
          <w:lang w:val="en-US"/>
        </w:rPr>
        <w:t>” JSC</w:t>
      </w:r>
      <w:r w:rsidRPr="00102BA4">
        <w:rPr>
          <w:color w:val="000000"/>
          <w:sz w:val="22"/>
          <w:szCs w:val="22"/>
          <w:lang w:val="en-US"/>
        </w:rPr>
        <w:t xml:space="preserve">,  </w:t>
      </w:r>
      <w:r>
        <w:rPr>
          <w:color w:val="000000"/>
          <w:sz w:val="22"/>
          <w:szCs w:val="22"/>
          <w:lang w:val="en-US"/>
        </w:rPr>
        <w:t>“</w:t>
      </w:r>
      <w:proofErr w:type="spellStart"/>
      <w:r>
        <w:rPr>
          <w:color w:val="000000"/>
          <w:sz w:val="22"/>
          <w:szCs w:val="22"/>
          <w:lang w:val="en-US"/>
        </w:rPr>
        <w:t>Kazyna</w:t>
      </w:r>
      <w:proofErr w:type="spellEnd"/>
      <w:r>
        <w:rPr>
          <w:color w:val="000000"/>
          <w:sz w:val="22"/>
          <w:szCs w:val="22"/>
          <w:lang w:val="en-US"/>
        </w:rPr>
        <w:t xml:space="preserve"> Capital Management” JSC</w:t>
      </w:r>
      <w:r w:rsidRPr="00102BA4">
        <w:rPr>
          <w:color w:val="000000"/>
          <w:sz w:val="22"/>
          <w:szCs w:val="22"/>
          <w:lang w:val="en-US"/>
        </w:rPr>
        <w:t xml:space="preserve">, </w:t>
      </w:r>
      <w:r w:rsidR="00965748">
        <w:rPr>
          <w:color w:val="000000"/>
          <w:sz w:val="22"/>
          <w:szCs w:val="22"/>
          <w:lang w:val="en-US"/>
        </w:rPr>
        <w:t xml:space="preserve">“BTA Bank” </w:t>
      </w:r>
      <w:r w:rsidR="00965748" w:rsidRPr="00102BA4">
        <w:rPr>
          <w:color w:val="000000"/>
          <w:sz w:val="22"/>
          <w:szCs w:val="22"/>
          <w:lang w:val="en-US"/>
        </w:rPr>
        <w:t>JSC</w:t>
      </w:r>
      <w:r w:rsidR="00965748">
        <w:rPr>
          <w:color w:val="000000"/>
          <w:sz w:val="22"/>
          <w:szCs w:val="22"/>
          <w:lang w:val="en-US"/>
        </w:rPr>
        <w:t>, “</w:t>
      </w:r>
      <w:r w:rsidR="00965748" w:rsidRPr="00102BA4">
        <w:rPr>
          <w:color w:val="000000"/>
          <w:sz w:val="22"/>
          <w:szCs w:val="22"/>
          <w:lang w:val="en-US"/>
        </w:rPr>
        <w:t>Alliance Bank</w:t>
      </w:r>
      <w:r w:rsidR="00965748">
        <w:rPr>
          <w:color w:val="000000"/>
          <w:sz w:val="22"/>
          <w:szCs w:val="22"/>
          <w:lang w:val="en-US"/>
        </w:rPr>
        <w:t>”</w:t>
      </w:r>
      <w:r w:rsidR="00965748" w:rsidRPr="00102BA4">
        <w:rPr>
          <w:color w:val="000000"/>
          <w:sz w:val="22"/>
          <w:szCs w:val="22"/>
          <w:lang w:val="en-US"/>
        </w:rPr>
        <w:t xml:space="preserve"> JSC</w:t>
      </w:r>
      <w:r w:rsidR="00965748">
        <w:rPr>
          <w:color w:val="000000"/>
          <w:sz w:val="22"/>
          <w:szCs w:val="22"/>
          <w:lang w:val="en-US"/>
        </w:rPr>
        <w:t>, “</w:t>
      </w:r>
      <w:proofErr w:type="spellStart"/>
      <w:r w:rsidR="00965748" w:rsidRPr="00102BA4">
        <w:rPr>
          <w:color w:val="000000"/>
          <w:sz w:val="22"/>
          <w:szCs w:val="22"/>
          <w:lang w:val="en-US"/>
        </w:rPr>
        <w:t>Temir</w:t>
      </w:r>
      <w:proofErr w:type="spellEnd"/>
      <w:r w:rsidR="00965748" w:rsidRPr="00102BA4">
        <w:rPr>
          <w:color w:val="000000"/>
          <w:sz w:val="22"/>
          <w:szCs w:val="22"/>
          <w:lang w:val="en-US"/>
        </w:rPr>
        <w:t xml:space="preserve"> Bank</w:t>
      </w:r>
      <w:r w:rsidR="00965748">
        <w:rPr>
          <w:color w:val="000000"/>
          <w:sz w:val="22"/>
          <w:szCs w:val="22"/>
          <w:lang w:val="en-US"/>
        </w:rPr>
        <w:t xml:space="preserve">” JSC, </w:t>
      </w:r>
      <w:r w:rsidRPr="00102BA4">
        <w:rPr>
          <w:color w:val="000000"/>
          <w:sz w:val="22"/>
          <w:szCs w:val="22"/>
          <w:lang w:val="en-US"/>
        </w:rPr>
        <w:t xml:space="preserve">which are the major companies in this segment, </w:t>
      </w:r>
      <w:r>
        <w:rPr>
          <w:color w:val="000000"/>
          <w:sz w:val="22"/>
          <w:szCs w:val="22"/>
          <w:lang w:val="en-US"/>
        </w:rPr>
        <w:t xml:space="preserve"> “</w:t>
      </w:r>
      <w:r w:rsidRPr="00102BA4">
        <w:rPr>
          <w:color w:val="000000"/>
          <w:sz w:val="22"/>
          <w:szCs w:val="22"/>
          <w:lang w:val="en-US"/>
        </w:rPr>
        <w:t>Investment Fund of Kazakhstan</w:t>
      </w:r>
      <w:r>
        <w:rPr>
          <w:color w:val="000000"/>
          <w:sz w:val="22"/>
          <w:szCs w:val="22"/>
          <w:lang w:val="en-US"/>
        </w:rPr>
        <w:t xml:space="preserve">” </w:t>
      </w:r>
      <w:r w:rsidRPr="00102BA4">
        <w:rPr>
          <w:color w:val="000000"/>
          <w:sz w:val="22"/>
          <w:szCs w:val="22"/>
          <w:lang w:val="en-US"/>
        </w:rPr>
        <w:t>JSC</w:t>
      </w:r>
      <w:r>
        <w:rPr>
          <w:color w:val="000000"/>
          <w:sz w:val="22"/>
          <w:szCs w:val="22"/>
          <w:lang w:val="en-US"/>
        </w:rPr>
        <w:t>, “</w:t>
      </w:r>
      <w:proofErr w:type="spellStart"/>
      <w:r w:rsidRPr="00102BA4">
        <w:rPr>
          <w:color w:val="000000"/>
          <w:sz w:val="22"/>
          <w:szCs w:val="22"/>
          <w:lang w:val="en-US"/>
        </w:rPr>
        <w:t>KazExportGarant</w:t>
      </w:r>
      <w:proofErr w:type="spellEnd"/>
      <w:r>
        <w:rPr>
          <w:color w:val="000000"/>
          <w:sz w:val="22"/>
          <w:szCs w:val="22"/>
          <w:lang w:val="en-US"/>
        </w:rPr>
        <w:t>”</w:t>
      </w:r>
      <w:r w:rsidRPr="00102BA4">
        <w:rPr>
          <w:color w:val="000000"/>
          <w:sz w:val="22"/>
          <w:szCs w:val="22"/>
          <w:lang w:val="en-US"/>
        </w:rPr>
        <w:t xml:space="preserve"> JSC</w:t>
      </w:r>
      <w:r>
        <w:rPr>
          <w:color w:val="000000"/>
          <w:sz w:val="22"/>
          <w:szCs w:val="22"/>
          <w:lang w:val="en-US"/>
        </w:rPr>
        <w:t>, “</w:t>
      </w:r>
      <w:r w:rsidRPr="00102BA4">
        <w:rPr>
          <w:color w:val="000000"/>
          <w:sz w:val="22"/>
          <w:szCs w:val="22"/>
          <w:lang w:val="en-US"/>
        </w:rPr>
        <w:t xml:space="preserve">Real Estate Fund </w:t>
      </w:r>
      <w:r>
        <w:rPr>
          <w:color w:val="000000"/>
          <w:sz w:val="22"/>
          <w:szCs w:val="22"/>
          <w:lang w:val="en-US"/>
        </w:rPr>
        <w:t>“</w:t>
      </w:r>
      <w:r w:rsidRPr="00102BA4">
        <w:rPr>
          <w:color w:val="000000"/>
          <w:sz w:val="22"/>
          <w:szCs w:val="22"/>
          <w:lang w:val="en-US"/>
        </w:rPr>
        <w:t>S</w:t>
      </w:r>
      <w:r>
        <w:rPr>
          <w:color w:val="000000"/>
          <w:sz w:val="22"/>
          <w:szCs w:val="22"/>
          <w:lang w:val="en-US"/>
        </w:rPr>
        <w:t>amruk-</w:t>
      </w:r>
      <w:r w:rsidRPr="00102BA4">
        <w:rPr>
          <w:color w:val="000000"/>
          <w:sz w:val="22"/>
          <w:szCs w:val="22"/>
          <w:lang w:val="en-US"/>
        </w:rPr>
        <w:t>K</w:t>
      </w:r>
      <w:r>
        <w:rPr>
          <w:color w:val="000000"/>
          <w:sz w:val="22"/>
          <w:szCs w:val="22"/>
          <w:lang w:val="en-US"/>
        </w:rPr>
        <w:t>azyna</w:t>
      </w:r>
      <w:r w:rsidR="00712EDA">
        <w:rPr>
          <w:color w:val="000000"/>
          <w:sz w:val="22"/>
          <w:szCs w:val="22"/>
          <w:lang w:val="en-US"/>
        </w:rPr>
        <w:t>”</w:t>
      </w:r>
      <w:r w:rsidRPr="00102BA4">
        <w:rPr>
          <w:color w:val="000000"/>
          <w:sz w:val="22"/>
          <w:szCs w:val="22"/>
          <w:lang w:val="en-US"/>
        </w:rPr>
        <w:t xml:space="preserve"> </w:t>
      </w:r>
      <w:r>
        <w:rPr>
          <w:color w:val="000000"/>
          <w:sz w:val="22"/>
          <w:szCs w:val="22"/>
          <w:lang w:val="en-US"/>
        </w:rPr>
        <w:t xml:space="preserve"> JSC</w:t>
      </w:r>
      <w:r w:rsidRPr="00102BA4">
        <w:rPr>
          <w:color w:val="000000"/>
          <w:sz w:val="22"/>
          <w:szCs w:val="22"/>
          <w:lang w:val="en-US"/>
        </w:rPr>
        <w:t>,</w:t>
      </w:r>
      <w:r>
        <w:rPr>
          <w:color w:val="000000"/>
          <w:sz w:val="22"/>
          <w:szCs w:val="22"/>
          <w:lang w:val="en-US"/>
        </w:rPr>
        <w:t xml:space="preserve"> </w:t>
      </w:r>
      <w:r w:rsidR="00A973D8" w:rsidRPr="00A973D8">
        <w:rPr>
          <w:color w:val="000000"/>
          <w:sz w:val="22"/>
          <w:szCs w:val="22"/>
          <w:lang w:val="en-US"/>
        </w:rPr>
        <w:t xml:space="preserve">Astana-Finance JSC, </w:t>
      </w:r>
      <w:proofErr w:type="spellStart"/>
      <w:r w:rsidR="00A973D8" w:rsidRPr="00A973D8">
        <w:rPr>
          <w:color w:val="000000"/>
          <w:sz w:val="22"/>
          <w:szCs w:val="22"/>
          <w:lang w:val="en-US"/>
        </w:rPr>
        <w:t>Shekerbank</w:t>
      </w:r>
      <w:proofErr w:type="spellEnd"/>
      <w:r w:rsidR="005841C7" w:rsidRPr="005841C7">
        <w:rPr>
          <w:color w:val="000000"/>
          <w:sz w:val="22"/>
          <w:szCs w:val="22"/>
          <w:lang w:val="en-US"/>
        </w:rPr>
        <w:t xml:space="preserve"> </w:t>
      </w:r>
      <w:r w:rsidR="005841C7">
        <w:rPr>
          <w:color w:val="000000"/>
          <w:sz w:val="22"/>
          <w:szCs w:val="22"/>
          <w:lang w:val="en-US"/>
        </w:rPr>
        <w:t>T.A.S.</w:t>
      </w:r>
      <w:r w:rsidR="00A973D8" w:rsidRPr="00A973D8">
        <w:rPr>
          <w:color w:val="000000"/>
          <w:sz w:val="22"/>
          <w:szCs w:val="22"/>
          <w:lang w:val="en-US"/>
        </w:rPr>
        <w:t>,</w:t>
      </w:r>
      <w:r w:rsidR="00A973D8" w:rsidRPr="00A973D8">
        <w:rPr>
          <w:color w:val="1F497D"/>
          <w:lang w:val="en-US"/>
        </w:rPr>
        <w:t xml:space="preserve"> </w:t>
      </w:r>
      <w:r w:rsidRPr="00A973D8">
        <w:rPr>
          <w:color w:val="000000"/>
          <w:sz w:val="22"/>
          <w:szCs w:val="22"/>
          <w:lang w:val="en-US"/>
        </w:rPr>
        <w:t>KGF SLP, KGF Management, KGF IM.</w:t>
      </w:r>
    </w:p>
    <w:p w:rsidR="002664E4" w:rsidRPr="00102BA4" w:rsidRDefault="00712EDA" w:rsidP="002664E4">
      <w:pPr>
        <w:pStyle w:val="a3"/>
        <w:tabs>
          <w:tab w:val="left" w:pos="426"/>
          <w:tab w:val="left" w:pos="993"/>
          <w:tab w:val="left" w:pos="1134"/>
          <w:tab w:val="left" w:pos="2127"/>
        </w:tabs>
        <w:autoSpaceDE w:val="0"/>
        <w:autoSpaceDN w:val="0"/>
        <w:adjustRightInd w:val="0"/>
        <w:spacing w:after="200"/>
        <w:ind w:left="-567" w:firstLine="709"/>
        <w:jc w:val="both"/>
        <w:rPr>
          <w:color w:val="000000"/>
          <w:sz w:val="22"/>
          <w:szCs w:val="22"/>
          <w:lang w:val="en-US"/>
        </w:rPr>
      </w:pPr>
      <w:r>
        <w:rPr>
          <w:color w:val="000000"/>
          <w:sz w:val="22"/>
          <w:szCs w:val="22"/>
          <w:lang w:val="en-US"/>
        </w:rPr>
        <w:t>“</w:t>
      </w:r>
      <w:r w:rsidRPr="00712EDA">
        <w:rPr>
          <w:b/>
          <w:color w:val="000000"/>
          <w:sz w:val="22"/>
          <w:szCs w:val="22"/>
          <w:lang w:val="en-US"/>
        </w:rPr>
        <w:t>Development Bank of Kazakhstan” JSC</w:t>
      </w:r>
      <w:r w:rsidRPr="00102BA4">
        <w:rPr>
          <w:color w:val="000000"/>
          <w:sz w:val="22"/>
          <w:szCs w:val="22"/>
          <w:lang w:val="en-US"/>
        </w:rPr>
        <w:t xml:space="preserve"> </w:t>
      </w:r>
      <w:r>
        <w:rPr>
          <w:color w:val="000000"/>
          <w:sz w:val="22"/>
          <w:szCs w:val="22"/>
          <w:lang w:val="en-US"/>
        </w:rPr>
        <w:t xml:space="preserve">(hereinafter – </w:t>
      </w:r>
      <w:r w:rsidR="002664E4" w:rsidRPr="00712EDA">
        <w:rPr>
          <w:color w:val="000000"/>
          <w:sz w:val="22"/>
          <w:szCs w:val="22"/>
          <w:lang w:val="en-US"/>
        </w:rPr>
        <w:t>DBK</w:t>
      </w:r>
      <w:r w:rsidRPr="00712EDA">
        <w:rPr>
          <w:color w:val="000000"/>
          <w:sz w:val="22"/>
          <w:szCs w:val="22"/>
          <w:lang w:val="en-US"/>
        </w:rPr>
        <w:t>)</w:t>
      </w:r>
      <w:r w:rsidR="002664E4" w:rsidRPr="00102BA4">
        <w:rPr>
          <w:b/>
          <w:color w:val="000000"/>
          <w:sz w:val="22"/>
          <w:szCs w:val="22"/>
          <w:lang w:val="en-US"/>
        </w:rPr>
        <w:t xml:space="preserve"> </w:t>
      </w:r>
      <w:r w:rsidR="002664E4" w:rsidRPr="00102BA4">
        <w:rPr>
          <w:color w:val="000000"/>
          <w:sz w:val="22"/>
          <w:szCs w:val="22"/>
          <w:lang w:val="en-US"/>
        </w:rPr>
        <w:t>was</w:t>
      </w:r>
      <w:r w:rsidR="002664E4">
        <w:rPr>
          <w:b/>
          <w:color w:val="000000"/>
          <w:sz w:val="22"/>
          <w:szCs w:val="22"/>
          <w:lang w:val="en-US"/>
        </w:rPr>
        <w:t xml:space="preserve"> </w:t>
      </w:r>
      <w:r w:rsidR="002664E4" w:rsidRPr="00102BA4">
        <w:rPr>
          <w:color w:val="000000"/>
          <w:sz w:val="22"/>
          <w:szCs w:val="22"/>
          <w:lang w:val="en-US"/>
        </w:rPr>
        <w:t>established in May 2001 to finance projects that promote economic diversification and attracting domestic and foreign investment in the economy</w:t>
      </w:r>
      <w:r w:rsidR="00965748">
        <w:rPr>
          <w:color w:val="000000"/>
          <w:sz w:val="22"/>
          <w:szCs w:val="22"/>
          <w:lang w:val="en-US"/>
        </w:rPr>
        <w:t xml:space="preserve"> of the country</w:t>
      </w:r>
      <w:r w:rsidR="002664E4" w:rsidRPr="00102BA4">
        <w:rPr>
          <w:color w:val="000000"/>
          <w:sz w:val="22"/>
          <w:szCs w:val="22"/>
          <w:lang w:val="en-US"/>
        </w:rPr>
        <w:t>.</w:t>
      </w:r>
    </w:p>
    <w:p w:rsidR="002664E4" w:rsidRPr="00102BA4" w:rsidRDefault="002664E4" w:rsidP="002664E4">
      <w:pPr>
        <w:pStyle w:val="a3"/>
        <w:tabs>
          <w:tab w:val="left" w:pos="426"/>
          <w:tab w:val="left" w:pos="993"/>
          <w:tab w:val="left" w:pos="1134"/>
          <w:tab w:val="left" w:pos="2127"/>
        </w:tabs>
        <w:autoSpaceDE w:val="0"/>
        <w:autoSpaceDN w:val="0"/>
        <w:adjustRightInd w:val="0"/>
        <w:ind w:left="-567" w:firstLine="709"/>
        <w:jc w:val="both"/>
        <w:rPr>
          <w:sz w:val="22"/>
          <w:szCs w:val="22"/>
          <w:lang w:val="en-US"/>
        </w:rPr>
      </w:pPr>
      <w:r w:rsidRPr="00102BA4">
        <w:rPr>
          <w:color w:val="000000"/>
          <w:sz w:val="22"/>
          <w:szCs w:val="22"/>
          <w:lang w:val="en-US"/>
        </w:rPr>
        <w:t xml:space="preserve">Since 2011 </w:t>
      </w:r>
      <w:r w:rsidR="00A50B98">
        <w:rPr>
          <w:color w:val="000000"/>
          <w:sz w:val="22"/>
          <w:szCs w:val="22"/>
          <w:lang w:val="en-US"/>
        </w:rPr>
        <w:t>DBK</w:t>
      </w:r>
      <w:r w:rsidRPr="00102BA4">
        <w:rPr>
          <w:color w:val="000000"/>
          <w:sz w:val="22"/>
          <w:szCs w:val="22"/>
          <w:lang w:val="en-US"/>
        </w:rPr>
        <w:t xml:space="preserve"> is in a </w:t>
      </w:r>
      <w:r>
        <w:rPr>
          <w:color w:val="000000"/>
          <w:sz w:val="22"/>
          <w:szCs w:val="22"/>
          <w:lang w:val="en-US"/>
        </w:rPr>
        <w:t>trust management of the Ministry of Industry and New T</w:t>
      </w:r>
      <w:r w:rsidRPr="00102BA4">
        <w:rPr>
          <w:color w:val="000000"/>
          <w:sz w:val="22"/>
          <w:szCs w:val="22"/>
          <w:lang w:val="en-US"/>
        </w:rPr>
        <w:t xml:space="preserve">echnologies. The structure of the </w:t>
      </w:r>
      <w:r>
        <w:rPr>
          <w:color w:val="000000"/>
          <w:sz w:val="22"/>
          <w:szCs w:val="22"/>
          <w:lang w:val="en-US"/>
        </w:rPr>
        <w:t>DBK</w:t>
      </w:r>
      <w:r w:rsidRPr="00102BA4">
        <w:rPr>
          <w:color w:val="000000"/>
          <w:sz w:val="22"/>
          <w:szCs w:val="22"/>
          <w:lang w:val="en-US"/>
        </w:rPr>
        <w:t xml:space="preserve"> includes </w:t>
      </w:r>
      <w:r>
        <w:rPr>
          <w:color w:val="000000"/>
          <w:sz w:val="22"/>
          <w:szCs w:val="22"/>
          <w:lang w:val="en-US"/>
        </w:rPr>
        <w:t>2</w:t>
      </w:r>
      <w:r w:rsidRPr="00102BA4">
        <w:rPr>
          <w:color w:val="000000"/>
          <w:sz w:val="22"/>
          <w:szCs w:val="22"/>
          <w:lang w:val="en-US"/>
        </w:rPr>
        <w:t xml:space="preserve"> </w:t>
      </w:r>
      <w:r>
        <w:rPr>
          <w:color w:val="000000"/>
          <w:sz w:val="22"/>
          <w:szCs w:val="22"/>
          <w:lang w:val="en-US"/>
        </w:rPr>
        <w:t>companies</w:t>
      </w:r>
      <w:r w:rsidRPr="00102BA4">
        <w:rPr>
          <w:color w:val="000000"/>
          <w:sz w:val="22"/>
          <w:szCs w:val="22"/>
          <w:lang w:val="en-US"/>
        </w:rPr>
        <w:t xml:space="preserve"> on 2 levels</w:t>
      </w:r>
      <w:r w:rsidRPr="00102BA4">
        <w:rPr>
          <w:sz w:val="22"/>
          <w:szCs w:val="22"/>
          <w:lang w:val="en-US"/>
        </w:rPr>
        <w:t xml:space="preserve">. </w:t>
      </w:r>
    </w:p>
    <w:p w:rsidR="002664E4" w:rsidRPr="007C6D63" w:rsidRDefault="002664E4" w:rsidP="002664E4">
      <w:pPr>
        <w:tabs>
          <w:tab w:val="left" w:pos="426"/>
          <w:tab w:val="left" w:pos="993"/>
        </w:tabs>
        <w:autoSpaceDE w:val="0"/>
        <w:autoSpaceDN w:val="0"/>
        <w:adjustRightInd w:val="0"/>
        <w:ind w:left="-567" w:firstLine="567"/>
        <w:jc w:val="both"/>
        <w:rPr>
          <w:sz w:val="22"/>
          <w:szCs w:val="22"/>
          <w:lang w:val="en-US"/>
        </w:rPr>
      </w:pPr>
      <w:r w:rsidRPr="0077532A">
        <w:rPr>
          <w:bCs/>
          <w:sz w:val="22"/>
          <w:szCs w:val="22"/>
          <w:lang w:val="en-US"/>
        </w:rPr>
        <w:t>The</w:t>
      </w:r>
      <w:r>
        <w:rPr>
          <w:bCs/>
          <w:sz w:val="22"/>
          <w:szCs w:val="22"/>
          <w:lang w:val="en-US"/>
        </w:rPr>
        <w:t xml:space="preserve"> </w:t>
      </w:r>
      <w:r w:rsidRPr="0077532A">
        <w:rPr>
          <w:bCs/>
          <w:sz w:val="22"/>
          <w:szCs w:val="22"/>
          <w:lang w:val="en-US"/>
        </w:rPr>
        <w:t>following</w:t>
      </w:r>
      <w:r w:rsidRPr="0077532A">
        <w:rPr>
          <w:color w:val="000000"/>
          <w:sz w:val="22"/>
          <w:szCs w:val="22"/>
          <w:lang w:val="en-US"/>
        </w:rPr>
        <w:t xml:space="preserve"> </w:t>
      </w:r>
      <w:r w:rsidRPr="007C6D63">
        <w:rPr>
          <w:b/>
          <w:color w:val="000000"/>
          <w:sz w:val="22"/>
          <w:szCs w:val="22"/>
          <w:lang w:val="en-US"/>
        </w:rPr>
        <w:t>significant events</w:t>
      </w:r>
      <w:r>
        <w:rPr>
          <w:sz w:val="22"/>
          <w:szCs w:val="22"/>
          <w:lang w:val="en-US"/>
        </w:rPr>
        <w:t xml:space="preserve"> occurred</w:t>
      </w:r>
      <w:r w:rsidRPr="007C6D63">
        <w:rPr>
          <w:sz w:val="22"/>
          <w:szCs w:val="22"/>
          <w:lang w:val="en-US"/>
        </w:rPr>
        <w:t xml:space="preserve">:  </w:t>
      </w:r>
    </w:p>
    <w:p w:rsidR="00F93073" w:rsidRPr="00F93073" w:rsidRDefault="002664E4" w:rsidP="00F93073">
      <w:pPr>
        <w:pStyle w:val="a3"/>
        <w:tabs>
          <w:tab w:val="left" w:pos="142"/>
          <w:tab w:val="left" w:pos="426"/>
        </w:tabs>
        <w:autoSpaceDE w:val="0"/>
        <w:autoSpaceDN w:val="0"/>
        <w:adjustRightInd w:val="0"/>
        <w:ind w:left="-567" w:firstLine="567"/>
        <w:jc w:val="both"/>
        <w:rPr>
          <w:sz w:val="22"/>
          <w:szCs w:val="22"/>
          <w:lang w:val="en-US"/>
        </w:rPr>
      </w:pPr>
      <w:r w:rsidRPr="00522D16">
        <w:rPr>
          <w:sz w:val="22"/>
          <w:szCs w:val="22"/>
          <w:lang w:val="en-US"/>
        </w:rPr>
        <w:t xml:space="preserve">1) </w:t>
      </w:r>
      <w:r w:rsidR="00C9328C">
        <w:rPr>
          <w:sz w:val="22"/>
          <w:szCs w:val="22"/>
          <w:lang w:val="en-US"/>
        </w:rPr>
        <w:t xml:space="preserve"> </w:t>
      </w:r>
      <w:r w:rsidR="00F93073">
        <w:rPr>
          <w:color w:val="000000"/>
          <w:sz w:val="22"/>
          <w:szCs w:val="22"/>
          <w:lang w:val="en-US"/>
        </w:rPr>
        <w:t>DBK</w:t>
      </w:r>
      <w:r w:rsidR="00F93073" w:rsidRPr="00102BA4">
        <w:rPr>
          <w:color w:val="000000"/>
          <w:sz w:val="22"/>
          <w:szCs w:val="22"/>
          <w:lang w:val="en-US"/>
        </w:rPr>
        <w:t xml:space="preserve"> </w:t>
      </w:r>
      <w:r w:rsidR="00F93073" w:rsidRPr="00F93073">
        <w:rPr>
          <w:sz w:val="22"/>
          <w:szCs w:val="22"/>
          <w:lang w:val="en-US"/>
        </w:rPr>
        <w:t>approved six investment projects</w:t>
      </w:r>
      <w:r w:rsidR="00F93073">
        <w:rPr>
          <w:sz w:val="22"/>
          <w:szCs w:val="22"/>
          <w:lang w:val="en-US"/>
        </w:rPr>
        <w:t xml:space="preserve"> of </w:t>
      </w:r>
      <w:r w:rsidR="00F93073" w:rsidRPr="00F93073">
        <w:rPr>
          <w:sz w:val="22"/>
          <w:szCs w:val="22"/>
          <w:lang w:val="en-US"/>
        </w:rPr>
        <w:t xml:space="preserve">a total value of more than </w:t>
      </w:r>
      <w:r w:rsidR="00F93073">
        <w:rPr>
          <w:sz w:val="22"/>
          <w:szCs w:val="22"/>
          <w:lang w:val="en-US"/>
        </w:rPr>
        <w:t xml:space="preserve">KZT </w:t>
      </w:r>
      <w:r w:rsidR="00F93073" w:rsidRPr="00F93073">
        <w:rPr>
          <w:sz w:val="22"/>
          <w:szCs w:val="22"/>
          <w:lang w:val="en-US"/>
        </w:rPr>
        <w:t>690 billion, DBK</w:t>
      </w:r>
      <w:r w:rsidR="00F93073">
        <w:rPr>
          <w:sz w:val="22"/>
          <w:szCs w:val="22"/>
          <w:lang w:val="en-US"/>
        </w:rPr>
        <w:t xml:space="preserve"> participation in </w:t>
      </w:r>
      <w:r w:rsidR="00F93073" w:rsidRPr="00F93073">
        <w:rPr>
          <w:sz w:val="22"/>
          <w:szCs w:val="22"/>
          <w:lang w:val="en-US"/>
        </w:rPr>
        <w:t xml:space="preserve">these projects is about </w:t>
      </w:r>
      <w:r w:rsidR="00F93073">
        <w:rPr>
          <w:sz w:val="22"/>
          <w:szCs w:val="22"/>
          <w:lang w:val="en-US"/>
        </w:rPr>
        <w:t xml:space="preserve">KZT </w:t>
      </w:r>
      <w:r w:rsidR="00F93073" w:rsidRPr="00F93073">
        <w:rPr>
          <w:sz w:val="22"/>
          <w:szCs w:val="22"/>
          <w:lang w:val="en-US"/>
        </w:rPr>
        <w:t>330 billion. Four of the six projects approved for financing are</w:t>
      </w:r>
      <w:r w:rsidR="00F93073">
        <w:rPr>
          <w:sz w:val="22"/>
          <w:szCs w:val="22"/>
          <w:lang w:val="en-US"/>
        </w:rPr>
        <w:t xml:space="preserve"> under the </w:t>
      </w:r>
      <w:r w:rsidR="00F93073" w:rsidRPr="00F93073">
        <w:rPr>
          <w:sz w:val="22"/>
          <w:szCs w:val="22"/>
          <w:lang w:val="en-US"/>
        </w:rPr>
        <w:t>SPFIID</w:t>
      </w:r>
      <w:r w:rsidR="00F93073">
        <w:rPr>
          <w:sz w:val="22"/>
          <w:szCs w:val="22"/>
          <w:lang w:val="en-US"/>
        </w:rPr>
        <w:t>.</w:t>
      </w:r>
    </w:p>
    <w:p w:rsidR="002664E4" w:rsidRDefault="00F93073" w:rsidP="00F93073">
      <w:pPr>
        <w:pStyle w:val="a3"/>
        <w:tabs>
          <w:tab w:val="left" w:pos="142"/>
          <w:tab w:val="left" w:pos="426"/>
        </w:tabs>
        <w:autoSpaceDE w:val="0"/>
        <w:autoSpaceDN w:val="0"/>
        <w:adjustRightInd w:val="0"/>
        <w:ind w:left="-567" w:firstLine="567"/>
        <w:jc w:val="both"/>
        <w:rPr>
          <w:sz w:val="22"/>
          <w:szCs w:val="22"/>
          <w:lang w:val="en-US"/>
        </w:rPr>
      </w:pPr>
      <w:r>
        <w:rPr>
          <w:sz w:val="22"/>
          <w:szCs w:val="22"/>
          <w:lang w:val="en-US"/>
        </w:rPr>
        <w:t>2</w:t>
      </w:r>
      <w:r w:rsidRPr="00F93073">
        <w:rPr>
          <w:sz w:val="22"/>
          <w:szCs w:val="22"/>
          <w:lang w:val="en-US"/>
        </w:rPr>
        <w:t xml:space="preserve">) </w:t>
      </w:r>
      <w:proofErr w:type="gramStart"/>
      <w:r>
        <w:rPr>
          <w:sz w:val="22"/>
          <w:szCs w:val="22"/>
          <w:lang w:val="en-US"/>
        </w:rPr>
        <w:t>under</w:t>
      </w:r>
      <w:proofErr w:type="gramEnd"/>
      <w:r>
        <w:rPr>
          <w:sz w:val="22"/>
          <w:szCs w:val="22"/>
          <w:lang w:val="en-US"/>
        </w:rPr>
        <w:t xml:space="preserve"> “</w:t>
      </w:r>
      <w:r w:rsidRPr="00F93073">
        <w:rPr>
          <w:sz w:val="22"/>
          <w:szCs w:val="22"/>
          <w:lang w:val="en-US"/>
        </w:rPr>
        <w:t>Business Road Map</w:t>
      </w:r>
      <w:r>
        <w:rPr>
          <w:sz w:val="22"/>
          <w:szCs w:val="22"/>
          <w:lang w:val="en-US"/>
        </w:rPr>
        <w:t xml:space="preserve">” program </w:t>
      </w:r>
      <w:r w:rsidRPr="00F93073">
        <w:rPr>
          <w:sz w:val="22"/>
          <w:szCs w:val="22"/>
          <w:lang w:val="en-US"/>
        </w:rPr>
        <w:t>a number of investment projects</w:t>
      </w:r>
      <w:r>
        <w:rPr>
          <w:sz w:val="22"/>
          <w:szCs w:val="22"/>
          <w:lang w:val="en-US"/>
        </w:rPr>
        <w:t xml:space="preserve"> were supported: “</w:t>
      </w:r>
      <w:r w:rsidRPr="00F93073">
        <w:rPr>
          <w:sz w:val="22"/>
          <w:szCs w:val="22"/>
          <w:lang w:val="en-US"/>
        </w:rPr>
        <w:t>Tau Terminal</w:t>
      </w:r>
      <w:r>
        <w:rPr>
          <w:sz w:val="22"/>
          <w:szCs w:val="22"/>
          <w:lang w:val="en-US"/>
        </w:rPr>
        <w:t>”</w:t>
      </w:r>
      <w:r w:rsidRPr="00F93073">
        <w:rPr>
          <w:sz w:val="22"/>
          <w:szCs w:val="22"/>
          <w:lang w:val="en-US"/>
        </w:rPr>
        <w:t xml:space="preserve">, </w:t>
      </w:r>
      <w:r w:rsidR="00EF2F67">
        <w:rPr>
          <w:sz w:val="22"/>
          <w:szCs w:val="22"/>
          <w:lang w:val="en-US"/>
        </w:rPr>
        <w:t>«</w:t>
      </w:r>
      <w:r w:rsidRPr="00F93073">
        <w:rPr>
          <w:sz w:val="22"/>
          <w:szCs w:val="22"/>
          <w:lang w:val="en-US"/>
        </w:rPr>
        <w:t>Crystal Management</w:t>
      </w:r>
      <w:r w:rsidR="00EF2F67">
        <w:rPr>
          <w:sz w:val="22"/>
          <w:szCs w:val="22"/>
          <w:lang w:val="en-US"/>
        </w:rPr>
        <w:t>»</w:t>
      </w:r>
      <w:r w:rsidRPr="00F93073">
        <w:rPr>
          <w:sz w:val="22"/>
          <w:szCs w:val="22"/>
          <w:lang w:val="en-US"/>
        </w:rPr>
        <w:t xml:space="preserve">, </w:t>
      </w:r>
      <w:r w:rsidR="00EF2F67">
        <w:rPr>
          <w:sz w:val="22"/>
          <w:szCs w:val="22"/>
          <w:lang w:val="en-US"/>
        </w:rPr>
        <w:t>«</w:t>
      </w:r>
      <w:proofErr w:type="spellStart"/>
      <w:r w:rsidRPr="00F93073">
        <w:rPr>
          <w:sz w:val="22"/>
          <w:szCs w:val="22"/>
          <w:lang w:val="en-US"/>
        </w:rPr>
        <w:t>Agromash</w:t>
      </w:r>
      <w:proofErr w:type="spellEnd"/>
      <w:r w:rsidRPr="00F93073">
        <w:rPr>
          <w:sz w:val="22"/>
          <w:szCs w:val="22"/>
          <w:lang w:val="en-US"/>
        </w:rPr>
        <w:t xml:space="preserve"> Holding</w:t>
      </w:r>
      <w:r w:rsidR="00EF2F67">
        <w:rPr>
          <w:sz w:val="22"/>
          <w:szCs w:val="22"/>
          <w:lang w:val="en-US"/>
        </w:rPr>
        <w:t>»</w:t>
      </w:r>
      <w:r w:rsidRPr="00F93073">
        <w:rPr>
          <w:sz w:val="22"/>
          <w:szCs w:val="22"/>
          <w:lang w:val="en-US"/>
        </w:rPr>
        <w:t xml:space="preserve">, </w:t>
      </w:r>
      <w:r w:rsidR="00EF2F67">
        <w:rPr>
          <w:sz w:val="22"/>
          <w:szCs w:val="22"/>
          <w:lang w:val="en-US"/>
        </w:rPr>
        <w:t>«</w:t>
      </w:r>
      <w:r>
        <w:rPr>
          <w:sz w:val="22"/>
          <w:szCs w:val="22"/>
          <w:lang w:val="en-US"/>
        </w:rPr>
        <w:t xml:space="preserve">Spare </w:t>
      </w:r>
      <w:r w:rsidRPr="00F93073">
        <w:rPr>
          <w:sz w:val="22"/>
          <w:szCs w:val="22"/>
          <w:lang w:val="en-US"/>
        </w:rPr>
        <w:t>part</w:t>
      </w:r>
      <w:r w:rsidR="00EF2F67">
        <w:rPr>
          <w:sz w:val="22"/>
          <w:szCs w:val="22"/>
          <w:lang w:val="en-US"/>
        </w:rPr>
        <w:t>»</w:t>
      </w:r>
      <w:r w:rsidRPr="00F93073">
        <w:rPr>
          <w:sz w:val="22"/>
          <w:szCs w:val="22"/>
          <w:lang w:val="en-US"/>
        </w:rPr>
        <w:t xml:space="preserve">, </w:t>
      </w:r>
      <w:r w:rsidR="00EF2F67">
        <w:rPr>
          <w:sz w:val="22"/>
          <w:szCs w:val="22"/>
          <w:lang w:val="en-US"/>
        </w:rPr>
        <w:t>«</w:t>
      </w:r>
      <w:r w:rsidRPr="00F93073">
        <w:rPr>
          <w:sz w:val="22"/>
          <w:szCs w:val="22"/>
          <w:lang w:val="en-US"/>
        </w:rPr>
        <w:t>Caustic</w:t>
      </w:r>
      <w:r w:rsidR="00EF2F67">
        <w:rPr>
          <w:sz w:val="22"/>
          <w:szCs w:val="22"/>
          <w:lang w:val="en-US"/>
        </w:rPr>
        <w:t>»</w:t>
      </w:r>
      <w:r w:rsidRPr="00F93073">
        <w:rPr>
          <w:sz w:val="22"/>
          <w:szCs w:val="22"/>
          <w:lang w:val="en-US"/>
        </w:rPr>
        <w:t xml:space="preserve">, </w:t>
      </w:r>
      <w:r w:rsidR="00EF2F67">
        <w:rPr>
          <w:sz w:val="22"/>
          <w:szCs w:val="22"/>
          <w:lang w:val="en-US"/>
        </w:rPr>
        <w:t>«</w:t>
      </w:r>
      <w:r w:rsidRPr="00F93073">
        <w:rPr>
          <w:sz w:val="22"/>
          <w:szCs w:val="22"/>
          <w:lang w:val="en-US"/>
        </w:rPr>
        <w:t>Eurasia Group Transit</w:t>
      </w:r>
      <w:r w:rsidR="00EF2F67">
        <w:rPr>
          <w:sz w:val="22"/>
          <w:szCs w:val="22"/>
          <w:lang w:val="en-US"/>
        </w:rPr>
        <w:t>»</w:t>
      </w:r>
      <w:r w:rsidRPr="00F93073">
        <w:rPr>
          <w:sz w:val="22"/>
          <w:szCs w:val="22"/>
          <w:lang w:val="en-US"/>
        </w:rPr>
        <w:t xml:space="preserve">, </w:t>
      </w:r>
      <w:r w:rsidR="00EF2F67">
        <w:rPr>
          <w:sz w:val="22"/>
          <w:szCs w:val="22"/>
          <w:lang w:val="en-US"/>
        </w:rPr>
        <w:t>«</w:t>
      </w:r>
      <w:proofErr w:type="spellStart"/>
      <w:r w:rsidRPr="00F93073">
        <w:rPr>
          <w:sz w:val="22"/>
          <w:szCs w:val="22"/>
          <w:lang w:val="en-US"/>
        </w:rPr>
        <w:t>Ridder</w:t>
      </w:r>
      <w:proofErr w:type="spellEnd"/>
      <w:r w:rsidRPr="00F93073">
        <w:rPr>
          <w:sz w:val="22"/>
          <w:szCs w:val="22"/>
          <w:lang w:val="en-US"/>
        </w:rPr>
        <w:t xml:space="preserve"> CHP</w:t>
      </w:r>
      <w:r w:rsidR="00EF2F67">
        <w:rPr>
          <w:sz w:val="22"/>
          <w:szCs w:val="22"/>
          <w:lang w:val="en-US"/>
        </w:rPr>
        <w:t>»</w:t>
      </w:r>
      <w:r w:rsidRPr="00F93073">
        <w:rPr>
          <w:sz w:val="22"/>
          <w:szCs w:val="22"/>
          <w:lang w:val="en-US"/>
        </w:rPr>
        <w:t xml:space="preserve"> </w:t>
      </w:r>
      <w:r w:rsidR="00EF2F67">
        <w:rPr>
          <w:sz w:val="22"/>
          <w:szCs w:val="22"/>
          <w:lang w:val="en-US"/>
        </w:rPr>
        <w:t>«</w:t>
      </w:r>
      <w:proofErr w:type="spellStart"/>
      <w:r w:rsidRPr="00F93073">
        <w:rPr>
          <w:sz w:val="22"/>
          <w:szCs w:val="22"/>
          <w:lang w:val="en-US"/>
        </w:rPr>
        <w:t>Maykudukskaya</w:t>
      </w:r>
      <w:proofErr w:type="spellEnd"/>
      <w:r w:rsidRPr="00F93073">
        <w:rPr>
          <w:sz w:val="22"/>
          <w:szCs w:val="22"/>
          <w:lang w:val="en-US"/>
        </w:rPr>
        <w:t xml:space="preserve"> Poultry</w:t>
      </w:r>
      <w:r w:rsidR="00EF2F67">
        <w:rPr>
          <w:sz w:val="22"/>
          <w:szCs w:val="22"/>
          <w:lang w:val="en-US"/>
        </w:rPr>
        <w:t>»</w:t>
      </w:r>
      <w:r w:rsidRPr="00F93073">
        <w:rPr>
          <w:sz w:val="22"/>
          <w:szCs w:val="22"/>
          <w:lang w:val="en-US"/>
        </w:rPr>
        <w:t xml:space="preserve">, </w:t>
      </w:r>
      <w:r w:rsidR="00EF2F67">
        <w:rPr>
          <w:sz w:val="22"/>
          <w:szCs w:val="22"/>
          <w:lang w:val="en-US"/>
        </w:rPr>
        <w:t>«</w:t>
      </w:r>
      <w:proofErr w:type="spellStart"/>
      <w:r>
        <w:rPr>
          <w:sz w:val="22"/>
          <w:szCs w:val="22"/>
          <w:lang w:val="en-US"/>
        </w:rPr>
        <w:t>Farab</w:t>
      </w:r>
      <w:proofErr w:type="spellEnd"/>
      <w:r w:rsidR="00EF2F67">
        <w:rPr>
          <w:sz w:val="22"/>
          <w:szCs w:val="22"/>
          <w:lang w:val="en-US"/>
        </w:rPr>
        <w:t>»</w:t>
      </w:r>
      <w:r w:rsidR="002664E4" w:rsidRPr="00522D16">
        <w:rPr>
          <w:sz w:val="22"/>
          <w:szCs w:val="22"/>
          <w:lang w:val="en-US"/>
        </w:rPr>
        <w:t>.</w:t>
      </w:r>
    </w:p>
    <w:p w:rsidR="002664E4" w:rsidRPr="00580B55" w:rsidRDefault="00F93073" w:rsidP="002664E4">
      <w:pPr>
        <w:tabs>
          <w:tab w:val="left" w:pos="142"/>
          <w:tab w:val="left" w:pos="426"/>
        </w:tabs>
        <w:autoSpaceDE w:val="0"/>
        <w:autoSpaceDN w:val="0"/>
        <w:adjustRightInd w:val="0"/>
        <w:ind w:left="-567" w:firstLine="567"/>
        <w:jc w:val="both"/>
        <w:rPr>
          <w:sz w:val="22"/>
          <w:szCs w:val="22"/>
          <w:lang w:val="en-US"/>
        </w:rPr>
      </w:pPr>
      <w:r w:rsidRPr="00F93073">
        <w:rPr>
          <w:b/>
          <w:color w:val="000000"/>
          <w:sz w:val="22"/>
          <w:szCs w:val="22"/>
          <w:lang w:val="en-US"/>
        </w:rPr>
        <w:lastRenderedPageBreak/>
        <w:t>“Entrepreneurship Development Fund “</w:t>
      </w:r>
      <w:proofErr w:type="spellStart"/>
      <w:r w:rsidRPr="00F93073">
        <w:rPr>
          <w:b/>
          <w:color w:val="000000"/>
          <w:sz w:val="22"/>
          <w:szCs w:val="22"/>
          <w:lang w:val="en-US"/>
        </w:rPr>
        <w:t>Damu</w:t>
      </w:r>
      <w:proofErr w:type="spellEnd"/>
      <w:r w:rsidRPr="00F93073">
        <w:rPr>
          <w:b/>
          <w:color w:val="000000"/>
          <w:sz w:val="22"/>
          <w:szCs w:val="22"/>
          <w:lang w:val="en-US"/>
        </w:rPr>
        <w:t>” JSC</w:t>
      </w:r>
      <w:r>
        <w:rPr>
          <w:b/>
          <w:sz w:val="22"/>
          <w:szCs w:val="22"/>
          <w:lang w:val="en-US"/>
        </w:rPr>
        <w:t xml:space="preserve"> </w:t>
      </w:r>
      <w:r w:rsidRPr="00F93073">
        <w:rPr>
          <w:sz w:val="22"/>
          <w:szCs w:val="22"/>
          <w:lang w:val="en-US"/>
        </w:rPr>
        <w:t xml:space="preserve">(hereinafter – </w:t>
      </w:r>
      <w:proofErr w:type="spellStart"/>
      <w:r w:rsidR="002664E4" w:rsidRPr="00F93073">
        <w:rPr>
          <w:sz w:val="22"/>
          <w:szCs w:val="22"/>
          <w:lang w:val="en-US"/>
        </w:rPr>
        <w:t>Damu</w:t>
      </w:r>
      <w:proofErr w:type="spellEnd"/>
      <w:r w:rsidRPr="00F93073">
        <w:rPr>
          <w:sz w:val="22"/>
          <w:szCs w:val="22"/>
          <w:lang w:val="en-US"/>
        </w:rPr>
        <w:t>)</w:t>
      </w:r>
      <w:r w:rsidR="002664E4" w:rsidRPr="00F93073">
        <w:rPr>
          <w:sz w:val="22"/>
          <w:szCs w:val="22"/>
          <w:lang w:val="en-US"/>
        </w:rPr>
        <w:t xml:space="preserve"> </w:t>
      </w:r>
      <w:r w:rsidR="002664E4">
        <w:rPr>
          <w:b/>
          <w:sz w:val="22"/>
          <w:szCs w:val="22"/>
          <w:lang w:val="en-US"/>
        </w:rPr>
        <w:t xml:space="preserve">- </w:t>
      </w:r>
      <w:r w:rsidR="002664E4" w:rsidRPr="00580B55">
        <w:rPr>
          <w:sz w:val="22"/>
          <w:szCs w:val="22"/>
          <w:lang w:val="en-US"/>
        </w:rPr>
        <w:t>a national institut</w:t>
      </w:r>
      <w:r w:rsidR="002664E4">
        <w:rPr>
          <w:sz w:val="22"/>
          <w:szCs w:val="22"/>
          <w:lang w:val="en-US"/>
        </w:rPr>
        <w:t>e</w:t>
      </w:r>
      <w:r w:rsidR="002664E4" w:rsidRPr="00580B55">
        <w:rPr>
          <w:sz w:val="22"/>
          <w:szCs w:val="22"/>
          <w:lang w:val="en-US"/>
        </w:rPr>
        <w:t xml:space="preserve">, the main operator and integrator of state support of small and medium-sized businesses in Kazakhstan through financial and non-financial business support. The structure </w:t>
      </w:r>
      <w:r w:rsidR="002664E4">
        <w:rPr>
          <w:sz w:val="22"/>
          <w:szCs w:val="22"/>
          <w:lang w:val="en-US"/>
        </w:rPr>
        <w:t xml:space="preserve">of </w:t>
      </w:r>
      <w:proofErr w:type="spellStart"/>
      <w:r w:rsidR="002664E4">
        <w:rPr>
          <w:sz w:val="22"/>
          <w:szCs w:val="22"/>
          <w:lang w:val="en-US"/>
        </w:rPr>
        <w:t>Damu</w:t>
      </w:r>
      <w:proofErr w:type="spellEnd"/>
      <w:r w:rsidR="002664E4">
        <w:rPr>
          <w:sz w:val="22"/>
          <w:szCs w:val="22"/>
          <w:lang w:val="en-US"/>
        </w:rPr>
        <w:t xml:space="preserve"> </w:t>
      </w:r>
      <w:r w:rsidR="002664E4" w:rsidRPr="00580B55">
        <w:rPr>
          <w:sz w:val="22"/>
          <w:szCs w:val="22"/>
          <w:lang w:val="en-US"/>
        </w:rPr>
        <w:t xml:space="preserve">consists of </w:t>
      </w:r>
      <w:r w:rsidR="00B95B38" w:rsidRPr="00580B55">
        <w:rPr>
          <w:sz w:val="22"/>
          <w:szCs w:val="22"/>
          <w:lang w:val="en-US"/>
        </w:rPr>
        <w:t xml:space="preserve">16 </w:t>
      </w:r>
      <w:r w:rsidR="00B95B38">
        <w:rPr>
          <w:sz w:val="22"/>
          <w:szCs w:val="22"/>
          <w:lang w:val="en-US"/>
        </w:rPr>
        <w:t>regional</w:t>
      </w:r>
      <w:r w:rsidR="002664E4" w:rsidRPr="00580B55">
        <w:rPr>
          <w:sz w:val="22"/>
          <w:szCs w:val="22"/>
          <w:lang w:val="en-US"/>
        </w:rPr>
        <w:t xml:space="preserve"> offices located throughout the </w:t>
      </w:r>
      <w:r w:rsidR="00B95B38" w:rsidRPr="00580B55">
        <w:rPr>
          <w:sz w:val="22"/>
          <w:szCs w:val="22"/>
          <w:lang w:val="en-US"/>
        </w:rPr>
        <w:t>country;</w:t>
      </w:r>
      <w:r w:rsidR="002664E4" w:rsidRPr="00580B55">
        <w:rPr>
          <w:sz w:val="22"/>
          <w:szCs w:val="22"/>
          <w:lang w:val="en-US"/>
        </w:rPr>
        <w:t xml:space="preserve"> the</w:t>
      </w:r>
      <w:r w:rsidR="002664E4">
        <w:rPr>
          <w:sz w:val="22"/>
          <w:szCs w:val="22"/>
          <w:lang w:val="en-US"/>
        </w:rPr>
        <w:t xml:space="preserve"> </w:t>
      </w:r>
      <w:r w:rsidR="00B95B38">
        <w:rPr>
          <w:sz w:val="22"/>
          <w:szCs w:val="22"/>
          <w:lang w:val="en-US"/>
        </w:rPr>
        <w:t xml:space="preserve">assets </w:t>
      </w:r>
      <w:r w:rsidR="00B95B38" w:rsidRPr="00580B55">
        <w:rPr>
          <w:sz w:val="22"/>
          <w:szCs w:val="22"/>
          <w:lang w:val="en-US"/>
        </w:rPr>
        <w:t>structure</w:t>
      </w:r>
      <w:r w:rsidR="002664E4" w:rsidRPr="00580B55">
        <w:rPr>
          <w:sz w:val="22"/>
          <w:szCs w:val="22"/>
          <w:lang w:val="en-US"/>
        </w:rPr>
        <w:t xml:space="preserve"> </w:t>
      </w:r>
      <w:r w:rsidR="002664E4">
        <w:rPr>
          <w:sz w:val="22"/>
          <w:szCs w:val="22"/>
          <w:lang w:val="en-US"/>
        </w:rPr>
        <w:t>includes</w:t>
      </w:r>
      <w:r w:rsidR="002664E4" w:rsidRPr="00580B55">
        <w:rPr>
          <w:sz w:val="22"/>
          <w:szCs w:val="22"/>
          <w:lang w:val="en-US"/>
        </w:rPr>
        <w:t xml:space="preserve"> </w:t>
      </w:r>
      <w:r w:rsidR="002664E4">
        <w:rPr>
          <w:sz w:val="22"/>
          <w:szCs w:val="22"/>
          <w:lang w:val="en-US"/>
        </w:rPr>
        <w:t>6</w:t>
      </w:r>
      <w:r w:rsidR="002664E4" w:rsidRPr="00580B55">
        <w:rPr>
          <w:sz w:val="22"/>
          <w:szCs w:val="22"/>
          <w:lang w:val="en-US"/>
        </w:rPr>
        <w:t xml:space="preserve"> companies. </w:t>
      </w:r>
      <w:proofErr w:type="spellStart"/>
      <w:r w:rsidR="002664E4">
        <w:rPr>
          <w:sz w:val="22"/>
          <w:szCs w:val="22"/>
          <w:lang w:val="en-US"/>
        </w:rPr>
        <w:t>Damu</w:t>
      </w:r>
      <w:proofErr w:type="spellEnd"/>
      <w:r w:rsidR="002664E4" w:rsidRPr="00580B55">
        <w:rPr>
          <w:sz w:val="22"/>
          <w:szCs w:val="22"/>
          <w:lang w:val="en-US"/>
        </w:rPr>
        <w:t xml:space="preserve"> is in </w:t>
      </w:r>
      <w:r w:rsidR="002664E4">
        <w:rPr>
          <w:sz w:val="22"/>
          <w:szCs w:val="22"/>
          <w:lang w:val="en-US"/>
        </w:rPr>
        <w:t xml:space="preserve">the trust </w:t>
      </w:r>
      <w:r w:rsidR="00B95B38">
        <w:rPr>
          <w:sz w:val="22"/>
          <w:szCs w:val="22"/>
          <w:lang w:val="en-US"/>
        </w:rPr>
        <w:t>management</w:t>
      </w:r>
      <w:r w:rsidR="002664E4" w:rsidRPr="00580B55">
        <w:rPr>
          <w:sz w:val="22"/>
          <w:szCs w:val="22"/>
          <w:lang w:val="en-US"/>
        </w:rPr>
        <w:t xml:space="preserve"> </w:t>
      </w:r>
      <w:r w:rsidR="002664E4">
        <w:rPr>
          <w:sz w:val="22"/>
          <w:szCs w:val="22"/>
          <w:lang w:val="en-US"/>
        </w:rPr>
        <w:t>of</w:t>
      </w:r>
      <w:r w:rsidR="002664E4" w:rsidRPr="00580B55">
        <w:rPr>
          <w:sz w:val="22"/>
          <w:szCs w:val="22"/>
          <w:lang w:val="en-US"/>
        </w:rPr>
        <w:t xml:space="preserve"> the Ministry of Economy and Trade Development </w:t>
      </w:r>
      <w:r w:rsidR="002664E4">
        <w:rPr>
          <w:sz w:val="22"/>
          <w:szCs w:val="22"/>
          <w:lang w:val="en-US"/>
        </w:rPr>
        <w:t>since</w:t>
      </w:r>
      <w:r w:rsidR="002664E4" w:rsidRPr="00580B55">
        <w:rPr>
          <w:sz w:val="22"/>
          <w:szCs w:val="22"/>
          <w:lang w:val="en-US"/>
        </w:rPr>
        <w:t xml:space="preserve"> 2011.</w:t>
      </w:r>
    </w:p>
    <w:p w:rsidR="002664E4" w:rsidRPr="00580B55" w:rsidRDefault="002664E4" w:rsidP="002664E4">
      <w:pPr>
        <w:tabs>
          <w:tab w:val="left" w:pos="142"/>
          <w:tab w:val="left" w:pos="426"/>
        </w:tabs>
        <w:autoSpaceDE w:val="0"/>
        <w:autoSpaceDN w:val="0"/>
        <w:adjustRightInd w:val="0"/>
        <w:ind w:left="-567" w:firstLine="567"/>
        <w:jc w:val="both"/>
        <w:rPr>
          <w:rFonts w:eastAsia="Calibri"/>
          <w:color w:val="000000"/>
          <w:sz w:val="22"/>
          <w:szCs w:val="22"/>
          <w:lang w:val="en-US"/>
        </w:rPr>
      </w:pPr>
      <w:r w:rsidRPr="00580B55">
        <w:rPr>
          <w:sz w:val="22"/>
          <w:szCs w:val="22"/>
          <w:lang w:val="en-US"/>
        </w:rPr>
        <w:t xml:space="preserve">In </w:t>
      </w:r>
      <w:r w:rsidR="00CE34F2">
        <w:rPr>
          <w:sz w:val="22"/>
          <w:szCs w:val="22"/>
          <w:lang w:val="en-US"/>
        </w:rPr>
        <w:t>the reporting period</w:t>
      </w:r>
      <w:r w:rsidRPr="00580B55">
        <w:rPr>
          <w:sz w:val="22"/>
          <w:szCs w:val="22"/>
          <w:lang w:val="en-US"/>
        </w:rPr>
        <w:t xml:space="preserve"> Dame continued to implement the following programs</w:t>
      </w:r>
      <w:r w:rsidRPr="00580B55">
        <w:rPr>
          <w:color w:val="000000"/>
          <w:sz w:val="22"/>
          <w:szCs w:val="22"/>
          <w:lang w:val="en-US"/>
        </w:rPr>
        <w:t xml:space="preserve">: </w:t>
      </w:r>
    </w:p>
    <w:p w:rsidR="002664E4" w:rsidRPr="00580B55" w:rsidRDefault="002664E4" w:rsidP="002664E4">
      <w:pPr>
        <w:pStyle w:val="a3"/>
        <w:numPr>
          <w:ilvl w:val="0"/>
          <w:numId w:val="20"/>
        </w:numPr>
        <w:tabs>
          <w:tab w:val="left" w:pos="284"/>
        </w:tabs>
        <w:ind w:left="0" w:firstLine="0"/>
        <w:jc w:val="both"/>
        <w:rPr>
          <w:sz w:val="22"/>
          <w:szCs w:val="22"/>
        </w:rPr>
      </w:pPr>
      <w:proofErr w:type="spellStart"/>
      <w:r w:rsidRPr="00580B55">
        <w:rPr>
          <w:sz w:val="22"/>
          <w:szCs w:val="22"/>
        </w:rPr>
        <w:t>Financial</w:t>
      </w:r>
      <w:proofErr w:type="spellEnd"/>
      <w:r w:rsidRPr="00580B55">
        <w:rPr>
          <w:sz w:val="22"/>
          <w:szCs w:val="22"/>
        </w:rPr>
        <w:t xml:space="preserve"> support </w:t>
      </w:r>
      <w:proofErr w:type="spellStart"/>
      <w:r w:rsidRPr="00580B55">
        <w:rPr>
          <w:sz w:val="22"/>
          <w:szCs w:val="22"/>
        </w:rPr>
        <w:t>for</w:t>
      </w:r>
      <w:proofErr w:type="spellEnd"/>
      <w:r w:rsidRPr="00580B55">
        <w:rPr>
          <w:sz w:val="22"/>
          <w:szCs w:val="22"/>
        </w:rPr>
        <w:t xml:space="preserve"> </w:t>
      </w:r>
      <w:proofErr w:type="spellStart"/>
      <w:r w:rsidRPr="00580B55">
        <w:rPr>
          <w:sz w:val="22"/>
          <w:szCs w:val="22"/>
        </w:rPr>
        <w:t>entrepreneurship</w:t>
      </w:r>
      <w:proofErr w:type="spellEnd"/>
      <w:r w:rsidRPr="00580B55">
        <w:rPr>
          <w:sz w:val="22"/>
          <w:szCs w:val="22"/>
        </w:rPr>
        <w:t>;</w:t>
      </w:r>
    </w:p>
    <w:p w:rsidR="002664E4" w:rsidRDefault="002664E4" w:rsidP="002664E4">
      <w:pPr>
        <w:pStyle w:val="a3"/>
        <w:numPr>
          <w:ilvl w:val="0"/>
          <w:numId w:val="20"/>
        </w:numPr>
        <w:tabs>
          <w:tab w:val="left" w:pos="284"/>
        </w:tabs>
        <w:ind w:left="0" w:firstLine="0"/>
        <w:jc w:val="both"/>
        <w:rPr>
          <w:sz w:val="22"/>
          <w:szCs w:val="22"/>
          <w:lang w:val="en-US"/>
        </w:rPr>
      </w:pPr>
      <w:r w:rsidRPr="00580B55">
        <w:rPr>
          <w:sz w:val="22"/>
          <w:szCs w:val="22"/>
          <w:lang w:val="en-US"/>
        </w:rPr>
        <w:t>Non-financial support for entrepreneurship.</w:t>
      </w:r>
    </w:p>
    <w:p w:rsidR="00F2019A" w:rsidRPr="00F2019A" w:rsidRDefault="00F2019A" w:rsidP="00F2019A">
      <w:pPr>
        <w:tabs>
          <w:tab w:val="left" w:pos="142"/>
          <w:tab w:val="left" w:pos="426"/>
          <w:tab w:val="left" w:pos="993"/>
        </w:tabs>
        <w:autoSpaceDE w:val="0"/>
        <w:autoSpaceDN w:val="0"/>
        <w:adjustRightInd w:val="0"/>
        <w:ind w:left="-567" w:firstLine="567"/>
        <w:jc w:val="both"/>
        <w:rPr>
          <w:sz w:val="22"/>
          <w:szCs w:val="22"/>
          <w:lang w:val="en-US"/>
        </w:rPr>
      </w:pPr>
      <w:r w:rsidRPr="00F2019A">
        <w:rPr>
          <w:sz w:val="22"/>
          <w:szCs w:val="22"/>
          <w:lang w:val="en-US"/>
        </w:rPr>
        <w:t xml:space="preserve">Among the most ambitious financial programs are three tranches </w:t>
      </w:r>
      <w:r>
        <w:rPr>
          <w:sz w:val="22"/>
          <w:szCs w:val="22"/>
          <w:lang w:val="en-US"/>
        </w:rPr>
        <w:t xml:space="preserve">of the </w:t>
      </w:r>
      <w:r w:rsidRPr="00F2019A">
        <w:rPr>
          <w:sz w:val="22"/>
          <w:szCs w:val="22"/>
          <w:lang w:val="en-US"/>
        </w:rPr>
        <w:t xml:space="preserve">Stabilization program, </w:t>
      </w:r>
      <w:r w:rsidR="00EF2F67">
        <w:rPr>
          <w:sz w:val="22"/>
          <w:szCs w:val="22"/>
          <w:lang w:val="en-US"/>
        </w:rPr>
        <w:t>«</w:t>
      </w:r>
      <w:proofErr w:type="spellStart"/>
      <w:r w:rsidRPr="00F2019A">
        <w:rPr>
          <w:sz w:val="22"/>
          <w:szCs w:val="22"/>
          <w:lang w:val="en-US"/>
        </w:rPr>
        <w:t>Damu</w:t>
      </w:r>
      <w:proofErr w:type="spellEnd"/>
      <w:r w:rsidRPr="00F2019A">
        <w:rPr>
          <w:sz w:val="22"/>
          <w:szCs w:val="22"/>
          <w:lang w:val="en-US"/>
        </w:rPr>
        <w:t>-Regions</w:t>
      </w:r>
      <w:r w:rsidR="00EF2F67">
        <w:rPr>
          <w:sz w:val="22"/>
          <w:szCs w:val="22"/>
          <w:lang w:val="en-US"/>
        </w:rPr>
        <w:t>»</w:t>
      </w:r>
      <w:r w:rsidRPr="00F2019A">
        <w:rPr>
          <w:sz w:val="22"/>
          <w:szCs w:val="22"/>
          <w:lang w:val="en-US"/>
        </w:rPr>
        <w:t xml:space="preserve"> program and </w:t>
      </w:r>
      <w:r w:rsidR="00EF2F67">
        <w:rPr>
          <w:sz w:val="22"/>
          <w:szCs w:val="22"/>
          <w:lang w:val="en-US"/>
        </w:rPr>
        <w:t>«</w:t>
      </w:r>
      <w:proofErr w:type="spellStart"/>
      <w:r w:rsidRPr="00F2019A">
        <w:rPr>
          <w:sz w:val="22"/>
          <w:szCs w:val="22"/>
          <w:lang w:val="en-US"/>
        </w:rPr>
        <w:t>Damu</w:t>
      </w:r>
      <w:proofErr w:type="spellEnd"/>
      <w:r w:rsidRPr="00F2019A">
        <w:rPr>
          <w:sz w:val="22"/>
          <w:szCs w:val="22"/>
          <w:lang w:val="en-US"/>
        </w:rPr>
        <w:t>-</w:t>
      </w:r>
      <w:r>
        <w:rPr>
          <w:sz w:val="22"/>
          <w:szCs w:val="22"/>
          <w:lang w:val="en-US"/>
        </w:rPr>
        <w:t>Regions 2</w:t>
      </w:r>
      <w:r w:rsidR="00EF2F67">
        <w:rPr>
          <w:sz w:val="22"/>
          <w:szCs w:val="22"/>
          <w:lang w:val="en-US"/>
        </w:rPr>
        <w:t>»</w:t>
      </w:r>
      <w:r>
        <w:rPr>
          <w:sz w:val="22"/>
          <w:szCs w:val="22"/>
          <w:lang w:val="en-US"/>
        </w:rPr>
        <w:t>,</w:t>
      </w:r>
      <w:r w:rsidRPr="00F2019A">
        <w:rPr>
          <w:sz w:val="22"/>
          <w:szCs w:val="22"/>
          <w:lang w:val="en-US"/>
        </w:rPr>
        <w:t xml:space="preserve"> </w:t>
      </w:r>
      <w:r w:rsidR="00EF2F67">
        <w:rPr>
          <w:sz w:val="22"/>
          <w:szCs w:val="22"/>
          <w:lang w:val="en-US"/>
        </w:rPr>
        <w:t>«</w:t>
      </w:r>
      <w:proofErr w:type="spellStart"/>
      <w:r>
        <w:rPr>
          <w:sz w:val="22"/>
          <w:szCs w:val="22"/>
          <w:lang w:val="en-US"/>
        </w:rPr>
        <w:t>Damu-O</w:t>
      </w:r>
      <w:r w:rsidRPr="00F2019A">
        <w:rPr>
          <w:sz w:val="22"/>
          <w:szCs w:val="22"/>
          <w:lang w:val="en-US"/>
        </w:rPr>
        <w:t>ndіrіs</w:t>
      </w:r>
      <w:proofErr w:type="spellEnd"/>
      <w:r w:rsidR="00EF2F67">
        <w:rPr>
          <w:sz w:val="22"/>
          <w:szCs w:val="22"/>
          <w:lang w:val="en-US"/>
        </w:rPr>
        <w:t>»</w:t>
      </w:r>
      <w:r w:rsidRPr="00F2019A">
        <w:rPr>
          <w:sz w:val="22"/>
          <w:szCs w:val="22"/>
          <w:lang w:val="en-US"/>
        </w:rPr>
        <w:t xml:space="preserve"> program and the first three </w:t>
      </w:r>
      <w:r w:rsidR="00ED2D78" w:rsidRPr="00F2019A">
        <w:rPr>
          <w:sz w:val="22"/>
          <w:szCs w:val="22"/>
          <w:lang w:val="en-US"/>
        </w:rPr>
        <w:t>d</w:t>
      </w:r>
      <w:r w:rsidR="00ED2D78">
        <w:rPr>
          <w:sz w:val="22"/>
          <w:szCs w:val="22"/>
          <w:lang w:val="en-US"/>
        </w:rPr>
        <w:t xml:space="preserve">irections </w:t>
      </w:r>
      <w:r w:rsidRPr="00F2019A">
        <w:rPr>
          <w:sz w:val="22"/>
          <w:szCs w:val="22"/>
          <w:lang w:val="en-US"/>
        </w:rPr>
        <w:t xml:space="preserve">of the program </w:t>
      </w:r>
      <w:r w:rsidR="00EF2F67">
        <w:rPr>
          <w:sz w:val="22"/>
          <w:szCs w:val="22"/>
          <w:lang w:val="en-US"/>
        </w:rPr>
        <w:t>«</w:t>
      </w:r>
      <w:r w:rsidRPr="00F2019A">
        <w:rPr>
          <w:sz w:val="22"/>
          <w:szCs w:val="22"/>
          <w:lang w:val="en-US"/>
        </w:rPr>
        <w:t>Business Road Map 2020</w:t>
      </w:r>
      <w:r w:rsidR="00EF2F67">
        <w:rPr>
          <w:sz w:val="22"/>
          <w:szCs w:val="22"/>
          <w:lang w:val="en-US"/>
        </w:rPr>
        <w:t>»</w:t>
      </w:r>
      <w:r w:rsidRPr="00F2019A">
        <w:rPr>
          <w:sz w:val="22"/>
          <w:szCs w:val="22"/>
          <w:lang w:val="en-US"/>
        </w:rPr>
        <w:t xml:space="preserve"> (hereinafter - </w:t>
      </w:r>
      <w:r w:rsidR="00EF2F67">
        <w:rPr>
          <w:sz w:val="22"/>
          <w:szCs w:val="22"/>
          <w:lang w:val="en-US"/>
        </w:rPr>
        <w:t>«</w:t>
      </w:r>
      <w:r>
        <w:rPr>
          <w:sz w:val="22"/>
          <w:szCs w:val="22"/>
          <w:lang w:val="en-US"/>
        </w:rPr>
        <w:t>BRM</w:t>
      </w:r>
      <w:r w:rsidRPr="00F2019A">
        <w:rPr>
          <w:sz w:val="22"/>
          <w:szCs w:val="22"/>
          <w:lang w:val="en-US"/>
        </w:rPr>
        <w:t xml:space="preserve"> 2020</w:t>
      </w:r>
      <w:r w:rsidR="00EF2F67">
        <w:rPr>
          <w:sz w:val="22"/>
          <w:szCs w:val="22"/>
          <w:lang w:val="en-US"/>
        </w:rPr>
        <w:t>»</w:t>
      </w:r>
      <w:r w:rsidRPr="00F2019A">
        <w:rPr>
          <w:sz w:val="22"/>
          <w:szCs w:val="22"/>
          <w:lang w:val="en-US"/>
        </w:rPr>
        <w:t xml:space="preserve">) . The financial program also includes a number of more narrowly focused programs, including </w:t>
      </w:r>
      <w:proofErr w:type="spellStart"/>
      <w:r>
        <w:rPr>
          <w:sz w:val="22"/>
          <w:szCs w:val="22"/>
          <w:lang w:val="en-US"/>
        </w:rPr>
        <w:t>micro</w:t>
      </w:r>
      <w:r w:rsidRPr="00F2019A">
        <w:rPr>
          <w:sz w:val="22"/>
          <w:szCs w:val="22"/>
          <w:lang w:val="en-US"/>
        </w:rPr>
        <w:t>credi</w:t>
      </w:r>
      <w:r>
        <w:rPr>
          <w:sz w:val="22"/>
          <w:szCs w:val="22"/>
          <w:lang w:val="en-US"/>
        </w:rPr>
        <w:t>ting</w:t>
      </w:r>
      <w:proofErr w:type="spellEnd"/>
      <w:r>
        <w:rPr>
          <w:sz w:val="22"/>
          <w:szCs w:val="22"/>
          <w:lang w:val="en-US"/>
        </w:rPr>
        <w:t xml:space="preserve"> the</w:t>
      </w:r>
      <w:r w:rsidRPr="00F2019A">
        <w:rPr>
          <w:sz w:val="22"/>
          <w:szCs w:val="22"/>
          <w:lang w:val="en-US"/>
        </w:rPr>
        <w:t xml:space="preserve"> female entrepreneurship, point programs, lease financing, etc.</w:t>
      </w:r>
    </w:p>
    <w:p w:rsidR="00F2019A" w:rsidRPr="00F2019A" w:rsidRDefault="00F2019A" w:rsidP="00F2019A">
      <w:pPr>
        <w:tabs>
          <w:tab w:val="left" w:pos="142"/>
          <w:tab w:val="left" w:pos="426"/>
          <w:tab w:val="left" w:pos="993"/>
        </w:tabs>
        <w:autoSpaceDE w:val="0"/>
        <w:autoSpaceDN w:val="0"/>
        <w:adjustRightInd w:val="0"/>
        <w:ind w:left="-567" w:firstLine="567"/>
        <w:jc w:val="both"/>
        <w:rPr>
          <w:sz w:val="22"/>
          <w:szCs w:val="22"/>
          <w:lang w:val="en-US"/>
        </w:rPr>
      </w:pPr>
      <w:r w:rsidRPr="00F2019A">
        <w:rPr>
          <w:sz w:val="22"/>
          <w:szCs w:val="22"/>
          <w:lang w:val="en-US"/>
        </w:rPr>
        <w:t xml:space="preserve">The most extensive program </w:t>
      </w:r>
      <w:r>
        <w:rPr>
          <w:sz w:val="22"/>
          <w:szCs w:val="22"/>
          <w:lang w:val="en-US"/>
        </w:rPr>
        <w:t>a</w:t>
      </w:r>
      <w:r w:rsidRPr="00F2019A">
        <w:rPr>
          <w:sz w:val="22"/>
          <w:szCs w:val="22"/>
          <w:lang w:val="en-US"/>
        </w:rPr>
        <w:t>mong non-financial program</w:t>
      </w:r>
      <w:r>
        <w:rPr>
          <w:sz w:val="22"/>
          <w:szCs w:val="22"/>
          <w:lang w:val="en-US"/>
        </w:rPr>
        <w:t>s</w:t>
      </w:r>
      <w:r w:rsidRPr="00F2019A">
        <w:rPr>
          <w:sz w:val="22"/>
          <w:szCs w:val="22"/>
          <w:lang w:val="en-US"/>
        </w:rPr>
        <w:t xml:space="preserve"> is training courses </w:t>
      </w:r>
      <w:r w:rsidR="00EF2F67">
        <w:rPr>
          <w:sz w:val="22"/>
          <w:szCs w:val="22"/>
          <w:lang w:val="en-US"/>
        </w:rPr>
        <w:t>«</w:t>
      </w:r>
      <w:r w:rsidRPr="00F2019A">
        <w:rPr>
          <w:sz w:val="22"/>
          <w:szCs w:val="22"/>
          <w:lang w:val="en-US"/>
        </w:rPr>
        <w:t>Business Advisor</w:t>
      </w:r>
      <w:r w:rsidR="00EF2F67">
        <w:rPr>
          <w:sz w:val="22"/>
          <w:szCs w:val="22"/>
          <w:lang w:val="en-US"/>
        </w:rPr>
        <w:t>»</w:t>
      </w:r>
      <w:r w:rsidRPr="00F2019A">
        <w:rPr>
          <w:sz w:val="22"/>
          <w:szCs w:val="22"/>
          <w:lang w:val="en-US"/>
        </w:rPr>
        <w:t xml:space="preserve">, which since 2011 is included in the fourth </w:t>
      </w:r>
      <w:r w:rsidR="00ED2D78" w:rsidRPr="00F2019A">
        <w:rPr>
          <w:sz w:val="22"/>
          <w:szCs w:val="22"/>
          <w:lang w:val="en-US"/>
        </w:rPr>
        <w:t xml:space="preserve">direction </w:t>
      </w:r>
      <w:r>
        <w:rPr>
          <w:sz w:val="22"/>
          <w:szCs w:val="22"/>
          <w:lang w:val="en-US"/>
        </w:rPr>
        <w:t xml:space="preserve">of </w:t>
      </w:r>
      <w:r w:rsidR="00EF2F67">
        <w:rPr>
          <w:sz w:val="22"/>
          <w:szCs w:val="22"/>
          <w:lang w:val="en-US"/>
        </w:rPr>
        <w:t>«</w:t>
      </w:r>
      <w:r w:rsidRPr="00F2019A">
        <w:rPr>
          <w:sz w:val="22"/>
          <w:szCs w:val="22"/>
          <w:lang w:val="en-US"/>
        </w:rPr>
        <w:t>Enhancing entrepreneurial potential</w:t>
      </w:r>
      <w:r w:rsidR="00EF2F67">
        <w:rPr>
          <w:sz w:val="22"/>
          <w:szCs w:val="22"/>
          <w:lang w:val="en-US"/>
        </w:rPr>
        <w:t>»</w:t>
      </w:r>
      <w:r w:rsidRPr="00F2019A">
        <w:rPr>
          <w:sz w:val="22"/>
          <w:szCs w:val="22"/>
          <w:lang w:val="en-US"/>
        </w:rPr>
        <w:t xml:space="preserve"> </w:t>
      </w:r>
      <w:r>
        <w:rPr>
          <w:sz w:val="22"/>
          <w:szCs w:val="22"/>
          <w:lang w:val="en-US"/>
        </w:rPr>
        <w:t xml:space="preserve">of </w:t>
      </w:r>
      <w:r w:rsidR="00EF2F67">
        <w:rPr>
          <w:sz w:val="22"/>
          <w:szCs w:val="22"/>
          <w:lang w:val="en-US"/>
        </w:rPr>
        <w:t>«</w:t>
      </w:r>
      <w:r>
        <w:rPr>
          <w:sz w:val="22"/>
          <w:szCs w:val="22"/>
          <w:lang w:val="en-US"/>
        </w:rPr>
        <w:t>BRM</w:t>
      </w:r>
      <w:r w:rsidRPr="00F2019A">
        <w:rPr>
          <w:sz w:val="22"/>
          <w:szCs w:val="22"/>
          <w:lang w:val="en-US"/>
        </w:rPr>
        <w:t xml:space="preserve"> 2020</w:t>
      </w:r>
      <w:r w:rsidR="00EF2F67">
        <w:rPr>
          <w:sz w:val="22"/>
          <w:szCs w:val="22"/>
          <w:lang w:val="en-US"/>
        </w:rPr>
        <w:t>»</w:t>
      </w:r>
      <w:r w:rsidRPr="00F2019A">
        <w:rPr>
          <w:sz w:val="22"/>
          <w:szCs w:val="22"/>
          <w:lang w:val="en-US"/>
        </w:rPr>
        <w:t xml:space="preserve"> Program</w:t>
      </w:r>
      <w:r>
        <w:rPr>
          <w:sz w:val="22"/>
          <w:szCs w:val="22"/>
          <w:lang w:val="en-US"/>
        </w:rPr>
        <w:t>.</w:t>
      </w:r>
      <w:r w:rsidRPr="00F2019A">
        <w:rPr>
          <w:sz w:val="22"/>
          <w:szCs w:val="22"/>
          <w:lang w:val="en-US"/>
        </w:rPr>
        <w:t xml:space="preserve"> As part of the 4-th direction of the Program</w:t>
      </w:r>
      <w:r w:rsidR="00ED2D78">
        <w:rPr>
          <w:sz w:val="22"/>
          <w:szCs w:val="22"/>
          <w:lang w:val="en-US"/>
        </w:rPr>
        <w:t>,</w:t>
      </w:r>
      <w:r w:rsidRPr="00F2019A">
        <w:rPr>
          <w:sz w:val="22"/>
          <w:szCs w:val="22"/>
          <w:lang w:val="en-US"/>
        </w:rPr>
        <w:t xml:space="preserve"> </w:t>
      </w:r>
      <w:r w:rsidR="00EF2F67">
        <w:rPr>
          <w:sz w:val="22"/>
          <w:szCs w:val="22"/>
          <w:lang w:val="en-US"/>
        </w:rPr>
        <w:t>«</w:t>
      </w:r>
      <w:proofErr w:type="spellStart"/>
      <w:r w:rsidRPr="00F2019A">
        <w:rPr>
          <w:sz w:val="22"/>
          <w:szCs w:val="22"/>
          <w:lang w:val="en-US"/>
        </w:rPr>
        <w:t>Damu</w:t>
      </w:r>
      <w:proofErr w:type="spellEnd"/>
      <w:r w:rsidR="00EF2F67">
        <w:rPr>
          <w:sz w:val="22"/>
          <w:szCs w:val="22"/>
          <w:lang w:val="en-US"/>
        </w:rPr>
        <w:t>»</w:t>
      </w:r>
      <w:r w:rsidRPr="00F2019A">
        <w:rPr>
          <w:sz w:val="22"/>
          <w:szCs w:val="22"/>
          <w:lang w:val="en-US"/>
        </w:rPr>
        <w:t xml:space="preserve"> </w:t>
      </w:r>
      <w:r w:rsidR="00ED2D78" w:rsidRPr="00F2019A">
        <w:rPr>
          <w:sz w:val="22"/>
          <w:szCs w:val="22"/>
          <w:lang w:val="en-US"/>
        </w:rPr>
        <w:t xml:space="preserve">Fund </w:t>
      </w:r>
      <w:r w:rsidR="00ED2D78">
        <w:rPr>
          <w:sz w:val="22"/>
          <w:szCs w:val="22"/>
          <w:lang w:val="en-US"/>
        </w:rPr>
        <w:t>is also implementing</w:t>
      </w:r>
      <w:r w:rsidR="00ED2D78" w:rsidRPr="00F2019A">
        <w:rPr>
          <w:sz w:val="22"/>
          <w:szCs w:val="22"/>
          <w:lang w:val="en-US"/>
        </w:rPr>
        <w:t xml:space="preserve"> </w:t>
      </w:r>
      <w:r w:rsidR="00ED2D78">
        <w:rPr>
          <w:sz w:val="22"/>
          <w:szCs w:val="22"/>
          <w:lang w:val="en-US"/>
        </w:rPr>
        <w:t>t</w:t>
      </w:r>
      <w:r w:rsidRPr="00F2019A">
        <w:rPr>
          <w:sz w:val="22"/>
          <w:szCs w:val="22"/>
          <w:lang w:val="en-US"/>
        </w:rPr>
        <w:t xml:space="preserve">he training program </w:t>
      </w:r>
      <w:r w:rsidR="00ED2D78">
        <w:rPr>
          <w:sz w:val="22"/>
          <w:szCs w:val="22"/>
          <w:lang w:val="en-US"/>
        </w:rPr>
        <w:t xml:space="preserve">for </w:t>
      </w:r>
      <w:r w:rsidRPr="00F2019A">
        <w:rPr>
          <w:sz w:val="22"/>
          <w:szCs w:val="22"/>
          <w:lang w:val="en-US"/>
        </w:rPr>
        <w:t xml:space="preserve">senior management of small and medium enterprises (hereinafter - </w:t>
      </w:r>
      <w:r w:rsidR="00ED2D78">
        <w:rPr>
          <w:sz w:val="22"/>
          <w:szCs w:val="22"/>
          <w:lang w:val="en-US"/>
        </w:rPr>
        <w:t>SME</w:t>
      </w:r>
      <w:r w:rsidRPr="00F2019A">
        <w:rPr>
          <w:sz w:val="22"/>
          <w:szCs w:val="22"/>
          <w:lang w:val="en-US"/>
        </w:rPr>
        <w:t xml:space="preserve">), </w:t>
      </w:r>
      <w:r w:rsidR="00EF2F67">
        <w:rPr>
          <w:sz w:val="22"/>
          <w:szCs w:val="22"/>
          <w:lang w:val="en-US"/>
        </w:rPr>
        <w:t>«</w:t>
      </w:r>
      <w:r w:rsidRPr="00F2019A">
        <w:rPr>
          <w:sz w:val="22"/>
          <w:szCs w:val="22"/>
          <w:lang w:val="en-US"/>
        </w:rPr>
        <w:t xml:space="preserve">Business </w:t>
      </w:r>
      <w:r w:rsidR="00ED2D78">
        <w:rPr>
          <w:sz w:val="22"/>
          <w:szCs w:val="22"/>
          <w:lang w:val="en-US"/>
        </w:rPr>
        <w:t>Relations</w:t>
      </w:r>
      <w:r w:rsidR="00EF2F67">
        <w:rPr>
          <w:sz w:val="22"/>
          <w:szCs w:val="22"/>
          <w:lang w:val="en-US"/>
        </w:rPr>
        <w:t>»</w:t>
      </w:r>
      <w:r w:rsidR="00ED2D78" w:rsidRPr="00F2019A">
        <w:rPr>
          <w:sz w:val="22"/>
          <w:szCs w:val="22"/>
          <w:lang w:val="en-US"/>
        </w:rPr>
        <w:t xml:space="preserve"> project</w:t>
      </w:r>
      <w:r w:rsidR="00ED2D78">
        <w:rPr>
          <w:sz w:val="22"/>
          <w:szCs w:val="22"/>
          <w:lang w:val="en-US"/>
        </w:rPr>
        <w:t>,</w:t>
      </w:r>
      <w:r w:rsidR="00ED2D78" w:rsidRPr="00F2019A">
        <w:rPr>
          <w:sz w:val="22"/>
          <w:szCs w:val="22"/>
          <w:lang w:val="en-US"/>
        </w:rPr>
        <w:t xml:space="preserve"> </w:t>
      </w:r>
      <w:r w:rsidRPr="00F2019A">
        <w:rPr>
          <w:sz w:val="22"/>
          <w:szCs w:val="22"/>
          <w:lang w:val="en-US"/>
        </w:rPr>
        <w:t>monitoring of service and support of existing business</w:t>
      </w:r>
      <w:r w:rsidR="00ED2D78">
        <w:rPr>
          <w:sz w:val="22"/>
          <w:szCs w:val="22"/>
          <w:lang w:val="en-US"/>
        </w:rPr>
        <w:t xml:space="preserve"> is conducted</w:t>
      </w:r>
      <w:r w:rsidRPr="00F2019A">
        <w:rPr>
          <w:sz w:val="22"/>
          <w:szCs w:val="22"/>
          <w:lang w:val="en-US"/>
        </w:rPr>
        <w:t>.</w:t>
      </w:r>
    </w:p>
    <w:p w:rsidR="002664E4" w:rsidRDefault="00F2019A" w:rsidP="00F2019A">
      <w:pPr>
        <w:tabs>
          <w:tab w:val="left" w:pos="142"/>
          <w:tab w:val="left" w:pos="426"/>
          <w:tab w:val="left" w:pos="993"/>
        </w:tabs>
        <w:autoSpaceDE w:val="0"/>
        <w:autoSpaceDN w:val="0"/>
        <w:adjustRightInd w:val="0"/>
        <w:ind w:left="-567" w:firstLine="567"/>
        <w:jc w:val="both"/>
        <w:rPr>
          <w:sz w:val="22"/>
          <w:szCs w:val="22"/>
          <w:lang w:val="en-US"/>
        </w:rPr>
      </w:pPr>
      <w:r w:rsidRPr="00F2019A">
        <w:rPr>
          <w:sz w:val="22"/>
          <w:szCs w:val="22"/>
          <w:lang w:val="en-US"/>
        </w:rPr>
        <w:t xml:space="preserve">In addition, the </w:t>
      </w:r>
      <w:r w:rsidR="00ED2D78" w:rsidRPr="00F2019A">
        <w:rPr>
          <w:sz w:val="22"/>
          <w:szCs w:val="22"/>
          <w:lang w:val="en-US"/>
        </w:rPr>
        <w:t>entrepreneurs</w:t>
      </w:r>
      <w:r w:rsidR="00ED2D78">
        <w:rPr>
          <w:sz w:val="22"/>
          <w:szCs w:val="22"/>
          <w:lang w:val="en-US"/>
        </w:rPr>
        <w:t>’</w:t>
      </w:r>
      <w:r w:rsidR="00ED2D78" w:rsidRPr="00F2019A">
        <w:rPr>
          <w:sz w:val="22"/>
          <w:szCs w:val="22"/>
          <w:lang w:val="en-US"/>
        </w:rPr>
        <w:t xml:space="preserve"> </w:t>
      </w:r>
      <w:r w:rsidR="00ED2D78">
        <w:rPr>
          <w:sz w:val="22"/>
          <w:szCs w:val="22"/>
          <w:lang w:val="en-US"/>
        </w:rPr>
        <w:t>competence enhancement</w:t>
      </w:r>
      <w:r w:rsidR="00ED2D78" w:rsidRPr="00F2019A">
        <w:rPr>
          <w:sz w:val="22"/>
          <w:szCs w:val="22"/>
          <w:lang w:val="en-US"/>
        </w:rPr>
        <w:t xml:space="preserve"> </w:t>
      </w:r>
      <w:r w:rsidRPr="00F2019A">
        <w:rPr>
          <w:sz w:val="22"/>
          <w:szCs w:val="22"/>
          <w:lang w:val="en-US"/>
        </w:rPr>
        <w:t xml:space="preserve">program block </w:t>
      </w:r>
      <w:r w:rsidR="00ED2D78">
        <w:rPr>
          <w:sz w:val="22"/>
          <w:szCs w:val="22"/>
          <w:lang w:val="en-US"/>
        </w:rPr>
        <w:t>includes the creation of</w:t>
      </w:r>
      <w:r w:rsidRPr="00F2019A">
        <w:rPr>
          <w:sz w:val="22"/>
          <w:szCs w:val="22"/>
          <w:lang w:val="en-US"/>
        </w:rPr>
        <w:t xml:space="preserve"> business support center</w:t>
      </w:r>
      <w:r w:rsidR="00ED2D78">
        <w:rPr>
          <w:sz w:val="22"/>
          <w:szCs w:val="22"/>
          <w:lang w:val="en-US"/>
        </w:rPr>
        <w:t>s in the regions, issue of analytic</w:t>
      </w:r>
      <w:r w:rsidRPr="00F2019A">
        <w:rPr>
          <w:sz w:val="22"/>
          <w:szCs w:val="22"/>
          <w:lang w:val="en-US"/>
        </w:rPr>
        <w:t xml:space="preserve"> book on SMEs in Kazakhstan, Geographic Information System </w:t>
      </w:r>
      <w:r w:rsidR="00ED2D78">
        <w:rPr>
          <w:sz w:val="22"/>
          <w:szCs w:val="22"/>
          <w:lang w:val="en-US"/>
        </w:rPr>
        <w:t xml:space="preserve">of the </w:t>
      </w:r>
      <w:r w:rsidRPr="00F2019A">
        <w:rPr>
          <w:sz w:val="22"/>
          <w:szCs w:val="22"/>
          <w:lang w:val="en-US"/>
        </w:rPr>
        <w:t>Fund, the Fund</w:t>
      </w:r>
      <w:r w:rsidR="00ED2D78">
        <w:rPr>
          <w:sz w:val="22"/>
          <w:szCs w:val="22"/>
          <w:lang w:val="en-US"/>
        </w:rPr>
        <w:t>’</w:t>
      </w:r>
      <w:r w:rsidRPr="00F2019A">
        <w:rPr>
          <w:sz w:val="22"/>
          <w:szCs w:val="22"/>
          <w:lang w:val="en-US"/>
        </w:rPr>
        <w:t xml:space="preserve">s call center and business portal for SMEs. </w:t>
      </w:r>
      <w:r w:rsidR="00EF2F67">
        <w:rPr>
          <w:sz w:val="22"/>
          <w:szCs w:val="22"/>
          <w:lang w:val="en-US"/>
        </w:rPr>
        <w:t>«</w:t>
      </w:r>
      <w:proofErr w:type="spellStart"/>
      <w:r w:rsidRPr="00F2019A">
        <w:rPr>
          <w:sz w:val="22"/>
          <w:szCs w:val="22"/>
          <w:lang w:val="en-US"/>
        </w:rPr>
        <w:t>Damu</w:t>
      </w:r>
      <w:proofErr w:type="spellEnd"/>
      <w:r w:rsidR="00EF2F67">
        <w:rPr>
          <w:sz w:val="22"/>
          <w:szCs w:val="22"/>
          <w:lang w:val="en-US"/>
        </w:rPr>
        <w:t>»</w:t>
      </w:r>
      <w:r w:rsidR="00ED2D78">
        <w:rPr>
          <w:sz w:val="22"/>
          <w:szCs w:val="22"/>
          <w:lang w:val="en-US"/>
        </w:rPr>
        <w:t xml:space="preserve"> Fund implements</w:t>
      </w:r>
      <w:r w:rsidRPr="00F2019A">
        <w:rPr>
          <w:sz w:val="22"/>
          <w:szCs w:val="22"/>
          <w:lang w:val="en-US"/>
        </w:rPr>
        <w:t xml:space="preserve"> </w:t>
      </w:r>
      <w:r w:rsidR="00EF2F67">
        <w:rPr>
          <w:sz w:val="22"/>
          <w:szCs w:val="22"/>
          <w:lang w:val="en-US"/>
        </w:rPr>
        <w:t>«</w:t>
      </w:r>
      <w:proofErr w:type="spellStart"/>
      <w:r w:rsidRPr="00F2019A">
        <w:rPr>
          <w:sz w:val="22"/>
          <w:szCs w:val="22"/>
          <w:lang w:val="en-US"/>
        </w:rPr>
        <w:t>Damu-K</w:t>
      </w:r>
      <w:r w:rsidR="00ED2D78">
        <w:rPr>
          <w:sz w:val="22"/>
          <w:szCs w:val="22"/>
          <w:lang w:val="en-US"/>
        </w:rPr>
        <w:t>o</w:t>
      </w:r>
      <w:r w:rsidRPr="00F2019A">
        <w:rPr>
          <w:sz w:val="22"/>
          <w:szCs w:val="22"/>
          <w:lang w:val="en-US"/>
        </w:rPr>
        <w:t>mek</w:t>
      </w:r>
      <w:proofErr w:type="spellEnd"/>
      <w:r w:rsidR="00EF2F67">
        <w:rPr>
          <w:sz w:val="22"/>
          <w:szCs w:val="22"/>
          <w:lang w:val="en-US"/>
        </w:rPr>
        <w:t>»</w:t>
      </w:r>
      <w:r w:rsidR="00ED2D78" w:rsidRPr="00F2019A">
        <w:rPr>
          <w:sz w:val="22"/>
          <w:szCs w:val="22"/>
          <w:lang w:val="en-US"/>
        </w:rPr>
        <w:t xml:space="preserve"> social program</w:t>
      </w:r>
      <w:r w:rsidR="00ED2D78">
        <w:rPr>
          <w:sz w:val="22"/>
          <w:szCs w:val="22"/>
          <w:lang w:val="en-US"/>
        </w:rPr>
        <w:t>,</w:t>
      </w:r>
      <w:r w:rsidR="00ED2D78" w:rsidRPr="00F2019A">
        <w:rPr>
          <w:sz w:val="22"/>
          <w:szCs w:val="22"/>
          <w:lang w:val="en-US"/>
        </w:rPr>
        <w:t xml:space="preserve"> </w:t>
      </w:r>
      <w:r w:rsidRPr="00F2019A">
        <w:rPr>
          <w:sz w:val="22"/>
          <w:szCs w:val="22"/>
          <w:lang w:val="en-US"/>
        </w:rPr>
        <w:t xml:space="preserve">through which </w:t>
      </w:r>
      <w:r w:rsidR="00ED2D78">
        <w:rPr>
          <w:sz w:val="22"/>
          <w:szCs w:val="22"/>
          <w:lang w:val="en-US"/>
        </w:rPr>
        <w:t>it</w:t>
      </w:r>
      <w:r w:rsidRPr="00F2019A">
        <w:rPr>
          <w:sz w:val="22"/>
          <w:szCs w:val="22"/>
          <w:lang w:val="en-US"/>
        </w:rPr>
        <w:t xml:space="preserve"> support</w:t>
      </w:r>
      <w:r w:rsidR="00ED2D78">
        <w:rPr>
          <w:sz w:val="22"/>
          <w:szCs w:val="22"/>
          <w:lang w:val="en-US"/>
        </w:rPr>
        <w:t>s</w:t>
      </w:r>
      <w:r w:rsidRPr="00F2019A">
        <w:rPr>
          <w:sz w:val="22"/>
          <w:szCs w:val="22"/>
          <w:lang w:val="en-US"/>
        </w:rPr>
        <w:t xml:space="preserve"> entrepreneurs with disabilities.</w:t>
      </w:r>
    </w:p>
    <w:p w:rsidR="00ED2D78" w:rsidRDefault="00366DF7" w:rsidP="00F2019A">
      <w:pPr>
        <w:tabs>
          <w:tab w:val="left" w:pos="142"/>
          <w:tab w:val="left" w:pos="426"/>
          <w:tab w:val="left" w:pos="993"/>
        </w:tabs>
        <w:autoSpaceDE w:val="0"/>
        <w:autoSpaceDN w:val="0"/>
        <w:adjustRightInd w:val="0"/>
        <w:ind w:left="-567" w:firstLine="567"/>
        <w:jc w:val="both"/>
        <w:rPr>
          <w:sz w:val="22"/>
          <w:szCs w:val="22"/>
          <w:lang w:val="en-US"/>
        </w:rPr>
      </w:pPr>
      <w:r>
        <w:rPr>
          <w:sz w:val="22"/>
          <w:szCs w:val="22"/>
          <w:lang w:val="en-US"/>
        </w:rPr>
        <w:t xml:space="preserve">We note the following </w:t>
      </w:r>
      <w:r w:rsidRPr="003633D6">
        <w:rPr>
          <w:b/>
          <w:sz w:val="22"/>
          <w:szCs w:val="22"/>
          <w:lang w:val="en-US"/>
        </w:rPr>
        <w:t>significant events</w:t>
      </w:r>
      <w:r>
        <w:rPr>
          <w:sz w:val="22"/>
          <w:szCs w:val="22"/>
          <w:lang w:val="en-US"/>
        </w:rPr>
        <w:t xml:space="preserve"> of H1 2012:</w:t>
      </w:r>
    </w:p>
    <w:p w:rsidR="003633D6" w:rsidRPr="003633D6" w:rsidRDefault="003633D6" w:rsidP="003633D6">
      <w:pPr>
        <w:tabs>
          <w:tab w:val="left" w:pos="142"/>
          <w:tab w:val="left" w:pos="426"/>
          <w:tab w:val="left" w:pos="993"/>
        </w:tabs>
        <w:autoSpaceDE w:val="0"/>
        <w:autoSpaceDN w:val="0"/>
        <w:adjustRightInd w:val="0"/>
        <w:ind w:left="-567" w:firstLine="567"/>
        <w:jc w:val="both"/>
        <w:rPr>
          <w:sz w:val="22"/>
          <w:szCs w:val="22"/>
          <w:lang w:val="en-US"/>
        </w:rPr>
      </w:pPr>
      <w:r w:rsidRPr="003633D6">
        <w:rPr>
          <w:sz w:val="22"/>
          <w:szCs w:val="22"/>
          <w:lang w:val="en-US"/>
        </w:rPr>
        <w:t xml:space="preserve">1) </w:t>
      </w:r>
      <w:r>
        <w:rPr>
          <w:sz w:val="22"/>
          <w:szCs w:val="22"/>
          <w:lang w:val="en-US"/>
        </w:rPr>
        <w:t>1</w:t>
      </w:r>
      <w:r w:rsidRPr="003633D6">
        <w:rPr>
          <w:sz w:val="22"/>
          <w:szCs w:val="22"/>
          <w:lang w:val="en-US"/>
        </w:rPr>
        <w:t>.243 thousand borrowers</w:t>
      </w:r>
      <w:r>
        <w:rPr>
          <w:sz w:val="22"/>
          <w:szCs w:val="22"/>
          <w:lang w:val="en-US"/>
        </w:rPr>
        <w:t xml:space="preserve"> were </w:t>
      </w:r>
      <w:r w:rsidRPr="003633D6">
        <w:rPr>
          <w:sz w:val="22"/>
          <w:szCs w:val="22"/>
          <w:lang w:val="en-US"/>
        </w:rPr>
        <w:t xml:space="preserve">financed </w:t>
      </w:r>
      <w:r>
        <w:rPr>
          <w:sz w:val="22"/>
          <w:szCs w:val="22"/>
          <w:lang w:val="en-US"/>
        </w:rPr>
        <w:t>under</w:t>
      </w:r>
      <w:r w:rsidRPr="003633D6">
        <w:rPr>
          <w:sz w:val="22"/>
          <w:szCs w:val="22"/>
          <w:lang w:val="en-US"/>
        </w:rPr>
        <w:t xml:space="preserve"> the programs through commercial banks </w:t>
      </w:r>
      <w:r>
        <w:rPr>
          <w:sz w:val="22"/>
          <w:szCs w:val="22"/>
          <w:lang w:val="en-US"/>
        </w:rPr>
        <w:t>for the amount of KZT 3</w:t>
      </w:r>
      <w:r w:rsidRPr="003633D6">
        <w:rPr>
          <w:sz w:val="22"/>
          <w:szCs w:val="22"/>
          <w:lang w:val="en-US"/>
        </w:rPr>
        <w:t>6</w:t>
      </w:r>
      <w:r>
        <w:rPr>
          <w:sz w:val="22"/>
          <w:szCs w:val="22"/>
          <w:lang w:val="en-US"/>
        </w:rPr>
        <w:t>.</w:t>
      </w:r>
      <w:r w:rsidRPr="003633D6">
        <w:rPr>
          <w:sz w:val="22"/>
          <w:szCs w:val="22"/>
          <w:lang w:val="en-US"/>
        </w:rPr>
        <w:t xml:space="preserve">7 billion, and </w:t>
      </w:r>
      <w:r>
        <w:rPr>
          <w:sz w:val="22"/>
          <w:szCs w:val="22"/>
          <w:lang w:val="en-US"/>
        </w:rPr>
        <w:t>it</w:t>
      </w:r>
      <w:r w:rsidRPr="003633D6">
        <w:rPr>
          <w:sz w:val="22"/>
          <w:szCs w:val="22"/>
          <w:lang w:val="en-US"/>
        </w:rPr>
        <w:t xml:space="preserve"> allowed to create and save 1094 jobs;</w:t>
      </w:r>
    </w:p>
    <w:p w:rsidR="00366DF7" w:rsidRPr="00580B55" w:rsidRDefault="003633D6" w:rsidP="003633D6">
      <w:pPr>
        <w:tabs>
          <w:tab w:val="left" w:pos="142"/>
          <w:tab w:val="left" w:pos="426"/>
          <w:tab w:val="left" w:pos="993"/>
        </w:tabs>
        <w:autoSpaceDE w:val="0"/>
        <w:autoSpaceDN w:val="0"/>
        <w:adjustRightInd w:val="0"/>
        <w:ind w:left="-567" w:firstLine="567"/>
        <w:jc w:val="both"/>
        <w:rPr>
          <w:sz w:val="22"/>
          <w:szCs w:val="22"/>
          <w:lang w:val="en-US"/>
        </w:rPr>
      </w:pPr>
      <w:r w:rsidRPr="003633D6">
        <w:rPr>
          <w:sz w:val="22"/>
          <w:szCs w:val="22"/>
          <w:lang w:val="en-US"/>
        </w:rPr>
        <w:t xml:space="preserve">2) </w:t>
      </w:r>
      <w:proofErr w:type="spellStart"/>
      <w:r w:rsidRPr="003633D6">
        <w:rPr>
          <w:sz w:val="22"/>
          <w:szCs w:val="22"/>
          <w:lang w:val="en-US"/>
        </w:rPr>
        <w:t>Damu</w:t>
      </w:r>
      <w:proofErr w:type="spellEnd"/>
      <w:r w:rsidRPr="003633D6">
        <w:rPr>
          <w:sz w:val="22"/>
          <w:szCs w:val="22"/>
          <w:lang w:val="en-US"/>
        </w:rPr>
        <w:t xml:space="preserve"> actively continues to work on implementation of </w:t>
      </w:r>
      <w:r>
        <w:rPr>
          <w:sz w:val="22"/>
          <w:szCs w:val="22"/>
          <w:lang w:val="en-US"/>
        </w:rPr>
        <w:t>“Business Road Map 2020” program</w:t>
      </w:r>
      <w:r w:rsidRPr="003633D6">
        <w:rPr>
          <w:sz w:val="22"/>
          <w:szCs w:val="22"/>
          <w:lang w:val="en-US"/>
        </w:rPr>
        <w:t xml:space="preserve"> (hereinafter - the Program) as a financial agent and the operator of the program. The Program aims to achieve sustainable and balanced growth of the regional business in non-oil sectors of the economy. Compared to the same period in 2011 </w:t>
      </w:r>
      <w:r>
        <w:rPr>
          <w:sz w:val="22"/>
          <w:szCs w:val="22"/>
          <w:lang w:val="en-US"/>
        </w:rPr>
        <w:t>a</w:t>
      </w:r>
      <w:r w:rsidRPr="003633D6">
        <w:rPr>
          <w:sz w:val="22"/>
          <w:szCs w:val="22"/>
          <w:lang w:val="en-US"/>
        </w:rPr>
        <w:t xml:space="preserve"> number of approved and signed projects increased by 3 times, the amount of loans increased by 2 times.</w:t>
      </w:r>
    </w:p>
    <w:p w:rsidR="002664E4" w:rsidRPr="00580B55" w:rsidRDefault="00603369" w:rsidP="002664E4">
      <w:pPr>
        <w:tabs>
          <w:tab w:val="left" w:pos="142"/>
          <w:tab w:val="left" w:pos="426"/>
          <w:tab w:val="left" w:pos="993"/>
        </w:tabs>
        <w:autoSpaceDE w:val="0"/>
        <w:autoSpaceDN w:val="0"/>
        <w:adjustRightInd w:val="0"/>
        <w:ind w:left="-567" w:firstLine="567"/>
        <w:jc w:val="both"/>
        <w:rPr>
          <w:sz w:val="22"/>
          <w:szCs w:val="22"/>
          <w:lang w:val="en-US"/>
        </w:rPr>
      </w:pPr>
      <w:r>
        <w:rPr>
          <w:b/>
          <w:color w:val="000000"/>
          <w:sz w:val="22"/>
          <w:szCs w:val="22"/>
          <w:lang w:val="en-US"/>
        </w:rPr>
        <w:t>“</w:t>
      </w:r>
      <w:r w:rsidRPr="00603369">
        <w:rPr>
          <w:b/>
          <w:color w:val="000000"/>
          <w:sz w:val="22"/>
          <w:szCs w:val="22"/>
          <w:lang w:val="en-US"/>
        </w:rPr>
        <w:t>Real Estate Fund “Samruk-Kazyna</w:t>
      </w:r>
      <w:r w:rsidR="00196FBE" w:rsidRPr="00603369">
        <w:rPr>
          <w:b/>
          <w:color w:val="000000"/>
          <w:sz w:val="22"/>
          <w:szCs w:val="22"/>
          <w:lang w:val="en-US"/>
        </w:rPr>
        <w:t>” JSC</w:t>
      </w:r>
      <w:r w:rsidRPr="00603369">
        <w:rPr>
          <w:sz w:val="22"/>
          <w:szCs w:val="22"/>
          <w:lang w:val="en-US"/>
        </w:rPr>
        <w:t xml:space="preserve"> (hereinafter - </w:t>
      </w:r>
      <w:r w:rsidR="002664E4" w:rsidRPr="00603369">
        <w:rPr>
          <w:sz w:val="22"/>
          <w:szCs w:val="22"/>
          <w:lang w:val="en-US"/>
        </w:rPr>
        <w:t>Real Estate Fund</w:t>
      </w:r>
      <w:r w:rsidRPr="00603369">
        <w:rPr>
          <w:sz w:val="22"/>
          <w:szCs w:val="22"/>
          <w:lang w:val="en-US"/>
        </w:rPr>
        <w:t>)</w:t>
      </w:r>
      <w:r w:rsidR="002664E4" w:rsidRPr="00580B55">
        <w:rPr>
          <w:sz w:val="22"/>
          <w:szCs w:val="22"/>
          <w:lang w:val="en-US"/>
        </w:rPr>
        <w:t xml:space="preserve"> </w:t>
      </w:r>
      <w:r w:rsidR="002664E4">
        <w:rPr>
          <w:sz w:val="22"/>
          <w:szCs w:val="22"/>
          <w:lang w:val="en-US"/>
        </w:rPr>
        <w:t xml:space="preserve">was </w:t>
      </w:r>
      <w:r w:rsidR="002664E4" w:rsidRPr="00580B55">
        <w:rPr>
          <w:sz w:val="22"/>
          <w:szCs w:val="22"/>
          <w:lang w:val="en-US"/>
        </w:rPr>
        <w:t xml:space="preserve">established pursuant to </w:t>
      </w:r>
      <w:r w:rsidR="002664E4">
        <w:rPr>
          <w:sz w:val="22"/>
          <w:szCs w:val="22"/>
          <w:lang w:val="en-US"/>
        </w:rPr>
        <w:t>the Decree</w:t>
      </w:r>
      <w:r w:rsidR="002664E4" w:rsidRPr="00580B55">
        <w:rPr>
          <w:sz w:val="22"/>
          <w:szCs w:val="22"/>
          <w:lang w:val="en-US"/>
        </w:rPr>
        <w:t xml:space="preserve"> of the Government of the Republic of Kazakhstan </w:t>
      </w:r>
      <w:r w:rsidR="00A4597C">
        <w:rPr>
          <w:sz w:val="22"/>
          <w:szCs w:val="22"/>
          <w:lang w:val="en-US"/>
        </w:rPr>
        <w:t>#</w:t>
      </w:r>
      <w:r w:rsidR="002664E4" w:rsidRPr="00580B55">
        <w:rPr>
          <w:sz w:val="22"/>
          <w:szCs w:val="22"/>
          <w:lang w:val="en-US"/>
        </w:rPr>
        <w:t xml:space="preserve"> 265 dated March 6, 2009 </w:t>
      </w:r>
      <w:r w:rsidR="002664E4">
        <w:rPr>
          <w:sz w:val="22"/>
          <w:szCs w:val="22"/>
          <w:lang w:val="en-US"/>
        </w:rPr>
        <w:t>“</w:t>
      </w:r>
      <w:r w:rsidR="002664E4" w:rsidRPr="00580B55">
        <w:rPr>
          <w:sz w:val="22"/>
          <w:szCs w:val="22"/>
          <w:lang w:val="en-US"/>
        </w:rPr>
        <w:t>On some measures to</w:t>
      </w:r>
      <w:r w:rsidR="002664E4">
        <w:rPr>
          <w:sz w:val="22"/>
          <w:szCs w:val="22"/>
          <w:lang w:val="en-US"/>
        </w:rPr>
        <w:t xml:space="preserve"> address the real estate market”</w:t>
      </w:r>
      <w:r w:rsidR="002664E4" w:rsidRPr="00580B55">
        <w:rPr>
          <w:sz w:val="22"/>
          <w:szCs w:val="22"/>
          <w:lang w:val="en-US"/>
        </w:rPr>
        <w:t xml:space="preserve">. The </w:t>
      </w:r>
      <w:r w:rsidR="002664E4">
        <w:rPr>
          <w:sz w:val="22"/>
          <w:szCs w:val="22"/>
          <w:lang w:val="en-US"/>
        </w:rPr>
        <w:t>C</w:t>
      </w:r>
      <w:r w:rsidR="002664E4" w:rsidRPr="00580B55">
        <w:rPr>
          <w:sz w:val="22"/>
          <w:szCs w:val="22"/>
          <w:lang w:val="en-US"/>
        </w:rPr>
        <w:t xml:space="preserve">ompany was established </w:t>
      </w:r>
      <w:r w:rsidR="002664E4">
        <w:rPr>
          <w:sz w:val="22"/>
          <w:szCs w:val="22"/>
          <w:lang w:val="en-US"/>
        </w:rPr>
        <w:t>as part of implementation</w:t>
      </w:r>
      <w:r w:rsidR="002664E4" w:rsidRPr="00580B55">
        <w:rPr>
          <w:sz w:val="22"/>
          <w:szCs w:val="22"/>
          <w:lang w:val="en-US"/>
        </w:rPr>
        <w:t xml:space="preserve"> of the Joint Action Plan of the Government of the Republic of Kazakhstan, National Bank and Agency on Regulation and Supervision of Financial Market and Financial System for </w:t>
      </w:r>
      <w:r w:rsidR="002664E4">
        <w:rPr>
          <w:sz w:val="22"/>
          <w:szCs w:val="22"/>
          <w:lang w:val="en-US"/>
        </w:rPr>
        <w:t xml:space="preserve"> </w:t>
      </w:r>
      <w:r w:rsidR="002664E4" w:rsidRPr="00580B55">
        <w:rPr>
          <w:sz w:val="22"/>
          <w:szCs w:val="22"/>
          <w:lang w:val="en-US"/>
        </w:rPr>
        <w:t xml:space="preserve"> 2009-2010 in order to stabilize the housing market through the acquisition of commercial and residential </w:t>
      </w:r>
      <w:r w:rsidR="002664E4">
        <w:rPr>
          <w:sz w:val="22"/>
          <w:szCs w:val="22"/>
          <w:lang w:val="en-US"/>
        </w:rPr>
        <w:t xml:space="preserve">premises on the </w:t>
      </w:r>
      <w:r w:rsidR="002664E4" w:rsidRPr="00580B55">
        <w:rPr>
          <w:sz w:val="22"/>
          <w:szCs w:val="22"/>
          <w:lang w:val="en-US"/>
        </w:rPr>
        <w:t xml:space="preserve">construction </w:t>
      </w:r>
      <w:r w:rsidR="002664E4">
        <w:rPr>
          <w:sz w:val="22"/>
          <w:szCs w:val="22"/>
          <w:lang w:val="en-US"/>
        </w:rPr>
        <w:t xml:space="preserve">facilities and </w:t>
      </w:r>
      <w:r w:rsidR="002664E4" w:rsidRPr="00580B55">
        <w:rPr>
          <w:sz w:val="22"/>
          <w:szCs w:val="22"/>
          <w:lang w:val="en-US"/>
        </w:rPr>
        <w:t xml:space="preserve">to ensure </w:t>
      </w:r>
      <w:r w:rsidR="002664E4">
        <w:rPr>
          <w:sz w:val="22"/>
          <w:szCs w:val="22"/>
          <w:lang w:val="en-US"/>
        </w:rPr>
        <w:t xml:space="preserve">their </w:t>
      </w:r>
      <w:r w:rsidR="002664E4" w:rsidRPr="00580B55">
        <w:rPr>
          <w:sz w:val="22"/>
          <w:szCs w:val="22"/>
          <w:lang w:val="en-US"/>
        </w:rPr>
        <w:t xml:space="preserve">effective </w:t>
      </w:r>
      <w:r w:rsidR="002664E4">
        <w:rPr>
          <w:sz w:val="22"/>
          <w:szCs w:val="22"/>
          <w:lang w:val="en-US"/>
        </w:rPr>
        <w:t xml:space="preserve"> </w:t>
      </w:r>
      <w:r w:rsidR="002664E4" w:rsidRPr="00580B55">
        <w:rPr>
          <w:sz w:val="22"/>
          <w:szCs w:val="22"/>
          <w:lang w:val="en-US"/>
        </w:rPr>
        <w:t xml:space="preserve"> management.</w:t>
      </w:r>
    </w:p>
    <w:p w:rsidR="002664E4" w:rsidRDefault="002664E4" w:rsidP="00627857">
      <w:pPr>
        <w:tabs>
          <w:tab w:val="left" w:pos="284"/>
          <w:tab w:val="left" w:pos="993"/>
        </w:tabs>
        <w:autoSpaceDE w:val="0"/>
        <w:autoSpaceDN w:val="0"/>
        <w:adjustRightInd w:val="0"/>
        <w:ind w:left="-567" w:firstLine="567"/>
        <w:jc w:val="both"/>
        <w:rPr>
          <w:sz w:val="22"/>
          <w:szCs w:val="22"/>
          <w:lang w:val="en-US"/>
        </w:rPr>
      </w:pPr>
      <w:r w:rsidRPr="00580B55">
        <w:rPr>
          <w:sz w:val="22"/>
          <w:szCs w:val="22"/>
          <w:lang w:val="en-US"/>
        </w:rPr>
        <w:t xml:space="preserve">The structure of the </w:t>
      </w:r>
      <w:r>
        <w:rPr>
          <w:sz w:val="22"/>
          <w:szCs w:val="22"/>
          <w:lang w:val="en-US"/>
        </w:rPr>
        <w:t>Real Estate Fund</w:t>
      </w:r>
      <w:r w:rsidRPr="00580B55">
        <w:rPr>
          <w:sz w:val="22"/>
          <w:szCs w:val="22"/>
          <w:lang w:val="en-US"/>
        </w:rPr>
        <w:t xml:space="preserve"> consists of </w:t>
      </w:r>
      <w:r w:rsidR="00BA1ECB">
        <w:rPr>
          <w:sz w:val="22"/>
          <w:szCs w:val="22"/>
          <w:lang w:val="en-US"/>
        </w:rPr>
        <w:t>3</w:t>
      </w:r>
      <w:r w:rsidRPr="00580B55">
        <w:rPr>
          <w:sz w:val="22"/>
          <w:szCs w:val="22"/>
          <w:lang w:val="en-US"/>
        </w:rPr>
        <w:t xml:space="preserve"> companies.</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The main activities of the Real Estate Fund are:</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 xml:space="preserve">• funding for </w:t>
      </w:r>
      <w:r>
        <w:rPr>
          <w:sz w:val="22"/>
          <w:szCs w:val="22"/>
          <w:lang w:val="en-US"/>
        </w:rPr>
        <w:t xml:space="preserve">uncompleted </w:t>
      </w:r>
      <w:r w:rsidRPr="00580B55">
        <w:rPr>
          <w:sz w:val="22"/>
          <w:szCs w:val="22"/>
          <w:lang w:val="en-US"/>
        </w:rPr>
        <w:t>construction;</w:t>
      </w:r>
    </w:p>
    <w:p w:rsidR="002664E4"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w:t>
      </w:r>
      <w:r w:rsidR="006E38AC">
        <w:rPr>
          <w:sz w:val="22"/>
          <w:szCs w:val="22"/>
          <w:lang w:val="en-US"/>
        </w:rPr>
        <w:t xml:space="preserve"> managing a pool of real estate;</w:t>
      </w:r>
    </w:p>
    <w:p w:rsidR="006E38AC" w:rsidRPr="00580B55" w:rsidRDefault="006E38AC" w:rsidP="00627857">
      <w:pPr>
        <w:widowControl w:val="0"/>
        <w:tabs>
          <w:tab w:val="left" w:pos="-900"/>
          <w:tab w:val="left" w:pos="284"/>
        </w:tabs>
        <w:ind w:left="-567" w:firstLine="567"/>
        <w:jc w:val="both"/>
        <w:rPr>
          <w:sz w:val="22"/>
          <w:szCs w:val="22"/>
          <w:lang w:val="en-US"/>
        </w:rPr>
      </w:pPr>
      <w:r w:rsidRPr="00580B55">
        <w:rPr>
          <w:sz w:val="22"/>
          <w:szCs w:val="22"/>
          <w:lang w:val="en-US"/>
        </w:rPr>
        <w:t>•</w:t>
      </w:r>
      <w:r>
        <w:rPr>
          <w:sz w:val="22"/>
          <w:szCs w:val="22"/>
          <w:lang w:val="en-US"/>
        </w:rPr>
        <w:t xml:space="preserve"> </w:t>
      </w:r>
      <w:proofErr w:type="gramStart"/>
      <w:r>
        <w:rPr>
          <w:sz w:val="22"/>
          <w:szCs w:val="22"/>
          <w:lang w:val="en-US"/>
        </w:rPr>
        <w:t>a</w:t>
      </w:r>
      <w:r w:rsidRPr="006E38AC">
        <w:rPr>
          <w:sz w:val="22"/>
          <w:szCs w:val="22"/>
          <w:lang w:val="en-US"/>
        </w:rPr>
        <w:t>sset</w:t>
      </w:r>
      <w:proofErr w:type="gramEnd"/>
      <w:r w:rsidRPr="006E38AC">
        <w:rPr>
          <w:sz w:val="22"/>
          <w:szCs w:val="22"/>
          <w:lang w:val="en-US"/>
        </w:rPr>
        <w:t xml:space="preserve"> management</w:t>
      </w:r>
    </w:p>
    <w:p w:rsidR="002664E4" w:rsidRPr="00580B55" w:rsidRDefault="002664E4" w:rsidP="00627857">
      <w:pPr>
        <w:widowControl w:val="0"/>
        <w:tabs>
          <w:tab w:val="left" w:pos="-900"/>
          <w:tab w:val="left" w:pos="284"/>
        </w:tabs>
        <w:ind w:left="-567" w:firstLine="567"/>
        <w:jc w:val="both"/>
        <w:rPr>
          <w:sz w:val="22"/>
          <w:szCs w:val="22"/>
          <w:lang w:val="en-US"/>
        </w:rPr>
      </w:pPr>
      <w:r>
        <w:rPr>
          <w:sz w:val="22"/>
          <w:szCs w:val="22"/>
          <w:lang w:val="en-US"/>
        </w:rPr>
        <w:t>As part of</w:t>
      </w:r>
      <w:r w:rsidRPr="00580B55">
        <w:rPr>
          <w:sz w:val="22"/>
          <w:szCs w:val="22"/>
          <w:lang w:val="en-US"/>
        </w:rPr>
        <w:t xml:space="preserve"> the first </w:t>
      </w:r>
      <w:r>
        <w:rPr>
          <w:sz w:val="22"/>
          <w:szCs w:val="22"/>
          <w:lang w:val="en-US"/>
        </w:rPr>
        <w:t>direction the</w:t>
      </w:r>
      <w:r w:rsidRPr="00580B55">
        <w:rPr>
          <w:sz w:val="22"/>
          <w:szCs w:val="22"/>
          <w:lang w:val="en-US"/>
        </w:rPr>
        <w:t xml:space="preserve"> Real Estate Fund </w:t>
      </w:r>
      <w:r>
        <w:rPr>
          <w:sz w:val="22"/>
          <w:szCs w:val="22"/>
          <w:lang w:val="en-US"/>
        </w:rPr>
        <w:t>sets</w:t>
      </w:r>
      <w:r w:rsidRPr="00580B55">
        <w:rPr>
          <w:sz w:val="22"/>
          <w:szCs w:val="22"/>
          <w:lang w:val="en-US"/>
        </w:rPr>
        <w:t xml:space="preserve"> the following objectives:</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 xml:space="preserve">• </w:t>
      </w:r>
      <w:proofErr w:type="gramStart"/>
      <w:r w:rsidRPr="00580B55">
        <w:rPr>
          <w:sz w:val="22"/>
          <w:szCs w:val="22"/>
          <w:lang w:val="en-US"/>
        </w:rPr>
        <w:t>completion</w:t>
      </w:r>
      <w:proofErr w:type="gramEnd"/>
      <w:r w:rsidRPr="00580B55">
        <w:rPr>
          <w:sz w:val="22"/>
          <w:szCs w:val="22"/>
          <w:lang w:val="en-US"/>
        </w:rPr>
        <w:t xml:space="preserve"> of unfinished projects by purchasing </w:t>
      </w:r>
      <w:r>
        <w:rPr>
          <w:sz w:val="22"/>
          <w:szCs w:val="22"/>
          <w:lang w:val="en-US"/>
        </w:rPr>
        <w:t>premises in them</w:t>
      </w:r>
      <w:r w:rsidRPr="00580B55">
        <w:rPr>
          <w:sz w:val="22"/>
          <w:szCs w:val="22"/>
          <w:lang w:val="en-US"/>
        </w:rPr>
        <w:t xml:space="preserve"> and funding in other ways;</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 promoting local content in construction projects;</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 ensuring compliance of construction projects with current standards of housing.</w:t>
      </w:r>
    </w:p>
    <w:p w:rsidR="00603369" w:rsidRDefault="002664E4" w:rsidP="00627857">
      <w:pPr>
        <w:widowControl w:val="0"/>
        <w:tabs>
          <w:tab w:val="left" w:pos="-900"/>
          <w:tab w:val="left" w:pos="284"/>
        </w:tabs>
        <w:ind w:left="-567" w:firstLine="567"/>
        <w:jc w:val="both"/>
        <w:rPr>
          <w:sz w:val="22"/>
          <w:szCs w:val="22"/>
          <w:lang w:val="en-US"/>
        </w:rPr>
      </w:pPr>
      <w:r>
        <w:rPr>
          <w:sz w:val="22"/>
          <w:szCs w:val="22"/>
          <w:lang w:val="en-US"/>
        </w:rPr>
        <w:t>As part of t</w:t>
      </w:r>
      <w:r w:rsidRPr="00580B55">
        <w:rPr>
          <w:sz w:val="22"/>
          <w:szCs w:val="22"/>
          <w:lang w:val="en-US"/>
        </w:rPr>
        <w:t xml:space="preserve">he second direction </w:t>
      </w:r>
      <w:r>
        <w:rPr>
          <w:sz w:val="22"/>
          <w:szCs w:val="22"/>
          <w:lang w:val="en-US"/>
        </w:rPr>
        <w:t>the</w:t>
      </w:r>
      <w:r w:rsidRPr="00580B55">
        <w:rPr>
          <w:sz w:val="22"/>
          <w:szCs w:val="22"/>
          <w:lang w:val="en-US"/>
        </w:rPr>
        <w:t xml:space="preserve"> Real Estate Fund aims to</w:t>
      </w:r>
      <w:r w:rsidR="00603369">
        <w:rPr>
          <w:sz w:val="22"/>
          <w:szCs w:val="22"/>
          <w:lang w:val="en-US"/>
        </w:rPr>
        <w:t>:</w:t>
      </w:r>
    </w:p>
    <w:p w:rsidR="00603369" w:rsidRPr="00603369" w:rsidRDefault="00603369" w:rsidP="00627857">
      <w:pPr>
        <w:widowControl w:val="0"/>
        <w:tabs>
          <w:tab w:val="left" w:pos="-900"/>
          <w:tab w:val="left" w:pos="284"/>
        </w:tabs>
        <w:ind w:left="-567" w:firstLine="567"/>
        <w:jc w:val="both"/>
        <w:rPr>
          <w:sz w:val="22"/>
          <w:szCs w:val="22"/>
          <w:lang w:val="en-US"/>
        </w:rPr>
      </w:pPr>
      <w:r w:rsidRPr="00603369">
        <w:rPr>
          <w:sz w:val="22"/>
          <w:szCs w:val="22"/>
          <w:lang w:val="en-US"/>
        </w:rPr>
        <w:t>•</w:t>
      </w:r>
      <w:r>
        <w:rPr>
          <w:sz w:val="22"/>
          <w:szCs w:val="22"/>
          <w:lang w:val="en-US"/>
        </w:rPr>
        <w:t xml:space="preserve"> increase</w:t>
      </w:r>
      <w:r w:rsidRPr="00603369">
        <w:rPr>
          <w:sz w:val="22"/>
          <w:szCs w:val="22"/>
          <w:lang w:val="en-US"/>
        </w:rPr>
        <w:t xml:space="preserve"> the supply of affordable housing in the real estate market;</w:t>
      </w:r>
    </w:p>
    <w:p w:rsidR="00603369" w:rsidRPr="00603369" w:rsidRDefault="00603369" w:rsidP="00627857">
      <w:pPr>
        <w:widowControl w:val="0"/>
        <w:tabs>
          <w:tab w:val="left" w:pos="-900"/>
          <w:tab w:val="left" w:pos="284"/>
        </w:tabs>
        <w:ind w:left="-567" w:firstLine="567"/>
        <w:jc w:val="both"/>
        <w:rPr>
          <w:sz w:val="22"/>
          <w:szCs w:val="22"/>
          <w:lang w:val="en-US"/>
        </w:rPr>
      </w:pPr>
      <w:r>
        <w:rPr>
          <w:sz w:val="22"/>
          <w:szCs w:val="22"/>
          <w:lang w:val="en-US"/>
        </w:rPr>
        <w:t>• a</w:t>
      </w:r>
      <w:r w:rsidRPr="00603369">
        <w:rPr>
          <w:sz w:val="22"/>
          <w:szCs w:val="22"/>
          <w:lang w:val="en-US"/>
        </w:rPr>
        <w:t>ttract private investment in housing</w:t>
      </w:r>
      <w:r>
        <w:rPr>
          <w:sz w:val="22"/>
          <w:szCs w:val="22"/>
          <w:lang w:val="en-US"/>
        </w:rPr>
        <w:t xml:space="preserve"> </w:t>
      </w:r>
      <w:r w:rsidRPr="00580B55">
        <w:rPr>
          <w:sz w:val="22"/>
          <w:szCs w:val="22"/>
          <w:lang w:val="en-US"/>
        </w:rPr>
        <w:t>construction</w:t>
      </w:r>
      <w:r w:rsidRPr="00603369">
        <w:rPr>
          <w:sz w:val="22"/>
          <w:szCs w:val="22"/>
          <w:lang w:val="en-US"/>
        </w:rPr>
        <w:t>;</w:t>
      </w:r>
    </w:p>
    <w:p w:rsidR="00603369" w:rsidRDefault="00603369" w:rsidP="00627857">
      <w:pPr>
        <w:widowControl w:val="0"/>
        <w:tabs>
          <w:tab w:val="left" w:pos="-900"/>
          <w:tab w:val="left" w:pos="284"/>
        </w:tabs>
        <w:ind w:left="-567" w:firstLine="567"/>
        <w:jc w:val="both"/>
        <w:rPr>
          <w:sz w:val="22"/>
          <w:szCs w:val="22"/>
          <w:lang w:val="en-US"/>
        </w:rPr>
      </w:pPr>
      <w:r>
        <w:rPr>
          <w:sz w:val="22"/>
          <w:szCs w:val="22"/>
          <w:lang w:val="en-US"/>
        </w:rPr>
        <w:t>• develop</w:t>
      </w:r>
      <w:r w:rsidRPr="00603369">
        <w:rPr>
          <w:sz w:val="22"/>
          <w:szCs w:val="22"/>
          <w:lang w:val="en-US"/>
        </w:rPr>
        <w:t xml:space="preserve"> the construction industry, to support domestic suppliers of works, goods and services.</w:t>
      </w:r>
    </w:p>
    <w:p w:rsidR="002664E4" w:rsidRPr="00580B55" w:rsidRDefault="00603369" w:rsidP="00627857">
      <w:pPr>
        <w:widowControl w:val="0"/>
        <w:tabs>
          <w:tab w:val="left" w:pos="-900"/>
          <w:tab w:val="left" w:pos="284"/>
        </w:tabs>
        <w:ind w:left="-567" w:firstLine="567"/>
        <w:jc w:val="both"/>
        <w:rPr>
          <w:sz w:val="22"/>
          <w:szCs w:val="22"/>
          <w:lang w:val="en-US"/>
        </w:rPr>
      </w:pPr>
      <w:r>
        <w:rPr>
          <w:sz w:val="22"/>
          <w:szCs w:val="22"/>
          <w:lang w:val="en-US"/>
        </w:rPr>
        <w:t>As part of</w:t>
      </w:r>
      <w:r w:rsidRPr="00580B55">
        <w:rPr>
          <w:sz w:val="22"/>
          <w:szCs w:val="22"/>
          <w:lang w:val="en-US"/>
        </w:rPr>
        <w:t xml:space="preserve"> the </w:t>
      </w:r>
      <w:r w:rsidRPr="00603369">
        <w:rPr>
          <w:sz w:val="22"/>
          <w:szCs w:val="22"/>
          <w:lang w:val="en-US"/>
        </w:rPr>
        <w:t>third direction the Real Estate Fund seeks</w:t>
      </w:r>
      <w:r>
        <w:rPr>
          <w:sz w:val="22"/>
          <w:szCs w:val="22"/>
          <w:lang w:val="en-US"/>
        </w:rPr>
        <w:t xml:space="preserve"> to optimize costs and achieve</w:t>
      </w:r>
      <w:r w:rsidRPr="00603369">
        <w:rPr>
          <w:sz w:val="22"/>
          <w:szCs w:val="22"/>
          <w:lang w:val="en-US"/>
        </w:rPr>
        <w:t xml:space="preserve"> </w:t>
      </w:r>
      <w:r w:rsidR="002664E4" w:rsidRPr="00580B55">
        <w:rPr>
          <w:sz w:val="22"/>
          <w:szCs w:val="22"/>
          <w:lang w:val="en-US"/>
        </w:rPr>
        <w:t>financial sustainability.</w:t>
      </w:r>
      <w:r w:rsidR="002664E4">
        <w:rPr>
          <w:sz w:val="22"/>
          <w:szCs w:val="22"/>
          <w:lang w:val="en-US"/>
        </w:rPr>
        <w:t xml:space="preserve"> </w:t>
      </w:r>
    </w:p>
    <w:p w:rsidR="002664E4" w:rsidRPr="00580B55" w:rsidRDefault="002664E4" w:rsidP="00627857">
      <w:pPr>
        <w:widowControl w:val="0"/>
        <w:tabs>
          <w:tab w:val="left" w:pos="-900"/>
          <w:tab w:val="left" w:pos="284"/>
        </w:tabs>
        <w:ind w:left="-567" w:firstLine="567"/>
        <w:jc w:val="both"/>
        <w:rPr>
          <w:sz w:val="22"/>
          <w:szCs w:val="22"/>
          <w:lang w:val="en-US"/>
        </w:rPr>
      </w:pPr>
      <w:r w:rsidRPr="00580B55">
        <w:rPr>
          <w:sz w:val="22"/>
          <w:szCs w:val="22"/>
          <w:lang w:val="en-US"/>
        </w:rPr>
        <w:t xml:space="preserve">In </w:t>
      </w:r>
      <w:r w:rsidR="00603369">
        <w:rPr>
          <w:sz w:val="22"/>
          <w:szCs w:val="22"/>
          <w:lang w:val="en-US"/>
        </w:rPr>
        <w:t>the reporting period</w:t>
      </w:r>
      <w:r w:rsidRPr="00580B55">
        <w:rPr>
          <w:sz w:val="22"/>
          <w:szCs w:val="22"/>
          <w:lang w:val="en-US"/>
        </w:rPr>
        <w:t xml:space="preserve">, </w:t>
      </w:r>
      <w:r w:rsidRPr="005F00E2">
        <w:rPr>
          <w:b/>
          <w:sz w:val="22"/>
          <w:szCs w:val="22"/>
          <w:lang w:val="en-US"/>
        </w:rPr>
        <w:t>following significant events</w:t>
      </w:r>
      <w:r w:rsidRPr="00580B55">
        <w:rPr>
          <w:sz w:val="22"/>
          <w:szCs w:val="22"/>
          <w:lang w:val="en-US"/>
        </w:rPr>
        <w:t xml:space="preserve"> have occurred:</w:t>
      </w:r>
    </w:p>
    <w:p w:rsidR="0046391C" w:rsidRPr="0046391C" w:rsidRDefault="0046391C" w:rsidP="00627857">
      <w:pPr>
        <w:pStyle w:val="a3"/>
        <w:widowControl w:val="0"/>
        <w:numPr>
          <w:ilvl w:val="1"/>
          <w:numId w:val="29"/>
        </w:numPr>
        <w:tabs>
          <w:tab w:val="left" w:pos="284"/>
        </w:tabs>
        <w:ind w:left="-567" w:firstLine="567"/>
        <w:jc w:val="both"/>
        <w:rPr>
          <w:sz w:val="22"/>
          <w:szCs w:val="22"/>
          <w:lang w:val="en-US"/>
        </w:rPr>
      </w:pPr>
      <w:r w:rsidRPr="0046391C">
        <w:rPr>
          <w:sz w:val="22"/>
          <w:szCs w:val="22"/>
          <w:lang w:val="en-US"/>
        </w:rPr>
        <w:t xml:space="preserve">credit line </w:t>
      </w:r>
      <w:r>
        <w:rPr>
          <w:sz w:val="22"/>
          <w:szCs w:val="22"/>
          <w:lang w:val="en-US"/>
        </w:rPr>
        <w:t>of KZT</w:t>
      </w:r>
      <w:r w:rsidRPr="0046391C">
        <w:rPr>
          <w:sz w:val="22"/>
          <w:szCs w:val="22"/>
          <w:lang w:val="en-US"/>
        </w:rPr>
        <w:t xml:space="preserve"> 155 billion</w:t>
      </w:r>
      <w:r>
        <w:rPr>
          <w:sz w:val="22"/>
          <w:szCs w:val="22"/>
          <w:lang w:val="en-US"/>
        </w:rPr>
        <w:t xml:space="preserve"> was extended</w:t>
      </w:r>
      <w:r w:rsidRPr="0046391C">
        <w:rPr>
          <w:sz w:val="22"/>
          <w:szCs w:val="22"/>
          <w:lang w:val="en-US"/>
        </w:rPr>
        <w:t xml:space="preserve">, </w:t>
      </w:r>
      <w:r>
        <w:rPr>
          <w:sz w:val="22"/>
          <w:szCs w:val="22"/>
          <w:lang w:val="en-US"/>
        </w:rPr>
        <w:t xml:space="preserve">KZT </w:t>
      </w:r>
      <w:r w:rsidRPr="0046391C">
        <w:rPr>
          <w:sz w:val="22"/>
          <w:szCs w:val="22"/>
          <w:lang w:val="en-US"/>
        </w:rPr>
        <w:t xml:space="preserve">98.4 billion of which </w:t>
      </w:r>
      <w:r>
        <w:rPr>
          <w:sz w:val="22"/>
          <w:szCs w:val="22"/>
          <w:lang w:val="en-US"/>
        </w:rPr>
        <w:t xml:space="preserve">were </w:t>
      </w:r>
      <w:r w:rsidRPr="0046391C">
        <w:rPr>
          <w:sz w:val="22"/>
          <w:szCs w:val="22"/>
          <w:lang w:val="en-US"/>
        </w:rPr>
        <w:t>disbursed</w:t>
      </w:r>
      <w:r>
        <w:rPr>
          <w:sz w:val="22"/>
          <w:szCs w:val="22"/>
          <w:lang w:val="en-US"/>
        </w:rPr>
        <w:t xml:space="preserve"> as of </w:t>
      </w:r>
      <w:r w:rsidRPr="0046391C">
        <w:rPr>
          <w:sz w:val="22"/>
          <w:szCs w:val="22"/>
          <w:lang w:val="en-US"/>
        </w:rPr>
        <w:t>the reporting date (including taking into account the canceled contract</w:t>
      </w:r>
      <w:r>
        <w:rPr>
          <w:sz w:val="22"/>
          <w:szCs w:val="22"/>
          <w:lang w:val="en-US"/>
        </w:rPr>
        <w:t>s</w:t>
      </w:r>
      <w:r w:rsidRPr="0046391C">
        <w:rPr>
          <w:sz w:val="22"/>
          <w:szCs w:val="22"/>
          <w:lang w:val="en-US"/>
        </w:rPr>
        <w:t>) to buy assets under construction</w:t>
      </w:r>
      <w:r>
        <w:rPr>
          <w:sz w:val="22"/>
          <w:szCs w:val="22"/>
          <w:lang w:val="en-US"/>
        </w:rPr>
        <w:t xml:space="preserve"> of “Samruk-Kazyna JSC</w:t>
      </w:r>
      <w:r w:rsidRPr="0046391C">
        <w:rPr>
          <w:sz w:val="22"/>
          <w:szCs w:val="22"/>
          <w:lang w:val="en-US"/>
        </w:rPr>
        <w:t xml:space="preserve"> </w:t>
      </w:r>
      <w:r>
        <w:rPr>
          <w:sz w:val="22"/>
          <w:szCs w:val="22"/>
          <w:lang w:val="en-US"/>
        </w:rPr>
        <w:t>by Real Estate Fund</w:t>
      </w:r>
      <w:r w:rsidRPr="0046391C">
        <w:rPr>
          <w:sz w:val="22"/>
          <w:szCs w:val="22"/>
          <w:lang w:val="en-US"/>
        </w:rPr>
        <w:t>.</w:t>
      </w:r>
    </w:p>
    <w:p w:rsidR="0046391C" w:rsidRDefault="0046391C" w:rsidP="00627857">
      <w:pPr>
        <w:pStyle w:val="a3"/>
        <w:widowControl w:val="0"/>
        <w:numPr>
          <w:ilvl w:val="1"/>
          <w:numId w:val="29"/>
        </w:numPr>
        <w:tabs>
          <w:tab w:val="left" w:pos="284"/>
        </w:tabs>
        <w:ind w:left="-567" w:firstLine="567"/>
        <w:jc w:val="both"/>
        <w:rPr>
          <w:sz w:val="22"/>
          <w:szCs w:val="22"/>
          <w:lang w:val="en-US"/>
        </w:rPr>
      </w:pPr>
      <w:proofErr w:type="gramStart"/>
      <w:r w:rsidRPr="0046391C">
        <w:rPr>
          <w:sz w:val="22"/>
          <w:szCs w:val="22"/>
          <w:lang w:val="en-US"/>
        </w:rPr>
        <w:lastRenderedPageBreak/>
        <w:t>principal</w:t>
      </w:r>
      <w:proofErr w:type="gramEnd"/>
      <w:r w:rsidRPr="0046391C">
        <w:rPr>
          <w:sz w:val="22"/>
          <w:szCs w:val="22"/>
          <w:lang w:val="en-US"/>
        </w:rPr>
        <w:t xml:space="preserve"> debt </w:t>
      </w:r>
      <w:r w:rsidR="00691990" w:rsidRPr="0046391C">
        <w:rPr>
          <w:sz w:val="22"/>
          <w:szCs w:val="22"/>
          <w:lang w:val="en-US"/>
        </w:rPr>
        <w:t xml:space="preserve">in the amount of </w:t>
      </w:r>
      <w:r w:rsidR="00691990">
        <w:rPr>
          <w:sz w:val="22"/>
          <w:szCs w:val="22"/>
          <w:lang w:val="en-US"/>
        </w:rPr>
        <w:t xml:space="preserve">KZT </w:t>
      </w:r>
      <w:r w:rsidR="006E38AC">
        <w:rPr>
          <w:sz w:val="22"/>
          <w:szCs w:val="22"/>
          <w:lang w:val="en-US"/>
        </w:rPr>
        <w:t>30.5</w:t>
      </w:r>
      <w:r w:rsidR="00691990" w:rsidRPr="0046391C">
        <w:rPr>
          <w:sz w:val="22"/>
          <w:szCs w:val="22"/>
          <w:lang w:val="en-US"/>
        </w:rPr>
        <w:t xml:space="preserve"> billion </w:t>
      </w:r>
      <w:r w:rsidR="00691990">
        <w:rPr>
          <w:sz w:val="22"/>
          <w:szCs w:val="22"/>
          <w:lang w:val="en-US"/>
        </w:rPr>
        <w:t xml:space="preserve">was </w:t>
      </w:r>
      <w:r w:rsidRPr="0046391C">
        <w:rPr>
          <w:sz w:val="22"/>
          <w:szCs w:val="22"/>
          <w:lang w:val="en-US"/>
        </w:rPr>
        <w:t xml:space="preserve">repaid </w:t>
      </w:r>
      <w:r w:rsidR="00691990" w:rsidRPr="0046391C">
        <w:rPr>
          <w:sz w:val="22"/>
          <w:szCs w:val="22"/>
          <w:lang w:val="en-US"/>
        </w:rPr>
        <w:t xml:space="preserve">early </w:t>
      </w:r>
      <w:r w:rsidR="00691990">
        <w:rPr>
          <w:sz w:val="22"/>
          <w:szCs w:val="22"/>
          <w:lang w:val="en-US"/>
        </w:rPr>
        <w:t>on</w:t>
      </w:r>
      <w:r w:rsidR="00691990" w:rsidRPr="0046391C">
        <w:rPr>
          <w:sz w:val="22"/>
          <w:szCs w:val="22"/>
          <w:lang w:val="en-US"/>
        </w:rPr>
        <w:t xml:space="preserve"> the credit line </w:t>
      </w:r>
      <w:r w:rsidR="00691990">
        <w:rPr>
          <w:sz w:val="22"/>
          <w:szCs w:val="22"/>
          <w:lang w:val="en-US"/>
        </w:rPr>
        <w:t>of</w:t>
      </w:r>
      <w:r w:rsidRPr="0046391C">
        <w:rPr>
          <w:sz w:val="22"/>
          <w:szCs w:val="22"/>
          <w:lang w:val="en-US"/>
        </w:rPr>
        <w:t xml:space="preserve"> the </w:t>
      </w:r>
      <w:r w:rsidR="00691990" w:rsidRPr="0046391C">
        <w:rPr>
          <w:sz w:val="22"/>
          <w:szCs w:val="22"/>
          <w:lang w:val="en-US"/>
        </w:rPr>
        <w:t>Sole Shareholder</w:t>
      </w:r>
      <w:r w:rsidRPr="0046391C">
        <w:rPr>
          <w:sz w:val="22"/>
          <w:szCs w:val="22"/>
          <w:lang w:val="en-US"/>
        </w:rPr>
        <w:t xml:space="preserve"> under the</w:t>
      </w:r>
      <w:r w:rsidR="00691990">
        <w:rPr>
          <w:sz w:val="22"/>
          <w:szCs w:val="22"/>
          <w:lang w:val="en-US"/>
        </w:rPr>
        <w:t xml:space="preserve"> Anti-</w:t>
      </w:r>
      <w:r w:rsidRPr="0046391C">
        <w:rPr>
          <w:sz w:val="22"/>
          <w:szCs w:val="22"/>
          <w:lang w:val="en-US"/>
        </w:rPr>
        <w:t>crisis program</w:t>
      </w:r>
      <w:r w:rsidR="00691990">
        <w:rPr>
          <w:sz w:val="22"/>
          <w:szCs w:val="22"/>
          <w:lang w:val="en-US"/>
        </w:rPr>
        <w:t>.</w:t>
      </w:r>
    </w:p>
    <w:p w:rsidR="002664E4" w:rsidRPr="00691990" w:rsidRDefault="00691990" w:rsidP="00627857">
      <w:pPr>
        <w:pStyle w:val="a3"/>
        <w:widowControl w:val="0"/>
        <w:numPr>
          <w:ilvl w:val="1"/>
          <w:numId w:val="29"/>
        </w:numPr>
        <w:tabs>
          <w:tab w:val="left" w:pos="284"/>
        </w:tabs>
        <w:ind w:left="-567" w:firstLine="567"/>
        <w:jc w:val="both"/>
        <w:rPr>
          <w:sz w:val="22"/>
          <w:szCs w:val="22"/>
          <w:lang w:val="en-US"/>
        </w:rPr>
      </w:pPr>
      <w:r>
        <w:rPr>
          <w:sz w:val="22"/>
          <w:szCs w:val="22"/>
          <w:lang w:val="en-US"/>
        </w:rPr>
        <w:t>As of June 30, 2012 the problems of 1.6</w:t>
      </w:r>
      <w:r w:rsidR="002664E4" w:rsidRPr="005F00E2">
        <w:rPr>
          <w:sz w:val="22"/>
          <w:szCs w:val="22"/>
          <w:lang w:val="en-US"/>
        </w:rPr>
        <w:t xml:space="preserve"> thousand interest holders have been resolved on facilities put into operation</w:t>
      </w:r>
      <w:r>
        <w:rPr>
          <w:sz w:val="22"/>
          <w:szCs w:val="22"/>
          <w:lang w:val="en-US"/>
        </w:rPr>
        <w:t>.</w:t>
      </w:r>
      <w:r w:rsidRPr="00691990">
        <w:rPr>
          <w:sz w:val="22"/>
          <w:szCs w:val="22"/>
          <w:lang w:val="en-US"/>
        </w:rPr>
        <w:t xml:space="preserve"> </w:t>
      </w:r>
      <w:r w:rsidRPr="005F00E2">
        <w:rPr>
          <w:sz w:val="22"/>
          <w:szCs w:val="22"/>
          <w:lang w:val="en-US"/>
        </w:rPr>
        <w:t>1</w:t>
      </w:r>
      <w:r>
        <w:rPr>
          <w:sz w:val="22"/>
          <w:szCs w:val="22"/>
          <w:lang w:val="en-US"/>
        </w:rPr>
        <w:t>5</w:t>
      </w:r>
      <w:r w:rsidRPr="005F00E2">
        <w:rPr>
          <w:sz w:val="22"/>
          <w:szCs w:val="22"/>
          <w:lang w:val="en-US"/>
        </w:rPr>
        <w:t xml:space="preserve"> objects are put into operation, including </w:t>
      </w:r>
      <w:r>
        <w:rPr>
          <w:sz w:val="22"/>
          <w:szCs w:val="22"/>
          <w:lang w:val="en-US"/>
        </w:rPr>
        <w:t>‘Al-</w:t>
      </w:r>
      <w:proofErr w:type="spellStart"/>
      <w:r>
        <w:rPr>
          <w:sz w:val="22"/>
          <w:szCs w:val="22"/>
          <w:lang w:val="en-US"/>
        </w:rPr>
        <w:t>Arka</w:t>
      </w:r>
      <w:proofErr w:type="spellEnd"/>
      <w:r>
        <w:rPr>
          <w:sz w:val="22"/>
          <w:szCs w:val="22"/>
          <w:lang w:val="en-US"/>
        </w:rPr>
        <w:t xml:space="preserve">” RC, </w:t>
      </w:r>
      <w:proofErr w:type="spellStart"/>
      <w:r>
        <w:rPr>
          <w:sz w:val="22"/>
          <w:szCs w:val="22"/>
          <w:lang w:val="en-US"/>
        </w:rPr>
        <w:t>Ak-Zhaik</w:t>
      </w:r>
      <w:proofErr w:type="spellEnd"/>
      <w:r>
        <w:rPr>
          <w:sz w:val="22"/>
          <w:szCs w:val="22"/>
          <w:lang w:val="en-US"/>
        </w:rPr>
        <w:t xml:space="preserve">” RC, </w:t>
      </w:r>
      <w:r w:rsidRPr="005F00E2">
        <w:rPr>
          <w:sz w:val="22"/>
          <w:szCs w:val="22"/>
          <w:lang w:val="en-US"/>
        </w:rPr>
        <w:t>“Maria”  RC,  “Northern Lights” RC, “The water-green boulevard” RC,  “</w:t>
      </w:r>
      <w:proofErr w:type="spellStart"/>
      <w:r w:rsidRPr="005F00E2">
        <w:rPr>
          <w:sz w:val="22"/>
          <w:szCs w:val="22"/>
          <w:lang w:val="en-US"/>
        </w:rPr>
        <w:t>Zapad</w:t>
      </w:r>
      <w:proofErr w:type="spellEnd"/>
      <w:r w:rsidRPr="005F00E2">
        <w:rPr>
          <w:sz w:val="22"/>
          <w:szCs w:val="22"/>
          <w:lang w:val="en-US"/>
        </w:rPr>
        <w:t>” RC, “</w:t>
      </w:r>
      <w:proofErr w:type="spellStart"/>
      <w:r w:rsidRPr="005F00E2">
        <w:rPr>
          <w:sz w:val="22"/>
          <w:szCs w:val="22"/>
          <w:lang w:val="en-US"/>
        </w:rPr>
        <w:t>Gorodskoy</w:t>
      </w:r>
      <w:proofErr w:type="spellEnd"/>
      <w:r w:rsidRPr="005F00E2">
        <w:rPr>
          <w:sz w:val="22"/>
          <w:szCs w:val="22"/>
          <w:lang w:val="en-US"/>
        </w:rPr>
        <w:t xml:space="preserve"> Romance” RC, “Astana </w:t>
      </w:r>
      <w:proofErr w:type="spellStart"/>
      <w:r w:rsidRPr="005F00E2">
        <w:rPr>
          <w:sz w:val="22"/>
          <w:szCs w:val="22"/>
          <w:lang w:val="en-US"/>
        </w:rPr>
        <w:t>Zhuldyz</w:t>
      </w:r>
      <w:r>
        <w:rPr>
          <w:sz w:val="22"/>
          <w:szCs w:val="22"/>
          <w:lang w:val="en-US"/>
        </w:rPr>
        <w:t>y</w:t>
      </w:r>
      <w:proofErr w:type="spellEnd"/>
      <w:r w:rsidRPr="005F00E2">
        <w:rPr>
          <w:sz w:val="22"/>
          <w:szCs w:val="22"/>
          <w:lang w:val="en-US"/>
        </w:rPr>
        <w:t>” RC, “</w:t>
      </w:r>
      <w:proofErr w:type="spellStart"/>
      <w:r w:rsidRPr="005F00E2">
        <w:rPr>
          <w:sz w:val="22"/>
          <w:szCs w:val="22"/>
          <w:lang w:val="en-US"/>
        </w:rPr>
        <w:t>Aya</w:t>
      </w:r>
      <w:proofErr w:type="spellEnd"/>
      <w:r w:rsidRPr="005F00E2">
        <w:rPr>
          <w:sz w:val="22"/>
          <w:szCs w:val="22"/>
          <w:lang w:val="en-US"/>
        </w:rPr>
        <w:t>” RC, “Ishim” RC, “</w:t>
      </w:r>
      <w:proofErr w:type="spellStart"/>
      <w:r w:rsidRPr="005F00E2">
        <w:rPr>
          <w:sz w:val="22"/>
          <w:szCs w:val="22"/>
          <w:lang w:val="en-US"/>
        </w:rPr>
        <w:t>Izumrudniy</w:t>
      </w:r>
      <w:proofErr w:type="spellEnd"/>
      <w:r w:rsidRPr="005F00E2">
        <w:rPr>
          <w:sz w:val="22"/>
          <w:szCs w:val="22"/>
          <w:lang w:val="en-US"/>
        </w:rPr>
        <w:t xml:space="preserve"> </w:t>
      </w:r>
      <w:proofErr w:type="spellStart"/>
      <w:r w:rsidRPr="005F00E2">
        <w:rPr>
          <w:sz w:val="22"/>
          <w:szCs w:val="22"/>
          <w:lang w:val="en-US"/>
        </w:rPr>
        <w:t>kvartal</w:t>
      </w:r>
      <w:proofErr w:type="spellEnd"/>
      <w:r w:rsidRPr="005F00E2">
        <w:rPr>
          <w:sz w:val="22"/>
          <w:szCs w:val="22"/>
          <w:lang w:val="en-US"/>
        </w:rPr>
        <w:t>” RC, “</w:t>
      </w:r>
      <w:proofErr w:type="spellStart"/>
      <w:r w:rsidRPr="005F00E2">
        <w:rPr>
          <w:sz w:val="22"/>
          <w:szCs w:val="22"/>
          <w:lang w:val="en-US"/>
        </w:rPr>
        <w:t>Skazochniy</w:t>
      </w:r>
      <w:proofErr w:type="spellEnd"/>
      <w:r w:rsidRPr="005F00E2">
        <w:rPr>
          <w:sz w:val="22"/>
          <w:szCs w:val="22"/>
          <w:lang w:val="en-US"/>
        </w:rPr>
        <w:t xml:space="preserve"> Mir” RC spots 1,2, “</w:t>
      </w:r>
      <w:proofErr w:type="spellStart"/>
      <w:r w:rsidRPr="005F00E2">
        <w:rPr>
          <w:sz w:val="22"/>
          <w:szCs w:val="22"/>
          <w:lang w:val="en-US"/>
        </w:rPr>
        <w:t>Aigerim</w:t>
      </w:r>
      <w:proofErr w:type="spellEnd"/>
      <w:r w:rsidRPr="005F00E2">
        <w:rPr>
          <w:sz w:val="22"/>
          <w:szCs w:val="22"/>
          <w:lang w:val="en-US"/>
        </w:rPr>
        <w:t>” RC, “Caspian Palace” RC</w:t>
      </w:r>
      <w:r>
        <w:rPr>
          <w:sz w:val="22"/>
          <w:szCs w:val="22"/>
          <w:lang w:val="en-US"/>
        </w:rPr>
        <w:t>, “</w:t>
      </w:r>
      <w:proofErr w:type="spellStart"/>
      <w:r>
        <w:rPr>
          <w:sz w:val="22"/>
          <w:szCs w:val="22"/>
          <w:lang w:val="en-US"/>
        </w:rPr>
        <w:t>Bogembay</w:t>
      </w:r>
      <w:proofErr w:type="spellEnd"/>
      <w:r>
        <w:rPr>
          <w:sz w:val="22"/>
          <w:szCs w:val="22"/>
          <w:lang w:val="en-US"/>
        </w:rPr>
        <w:t xml:space="preserve"> </w:t>
      </w:r>
      <w:proofErr w:type="spellStart"/>
      <w:r>
        <w:rPr>
          <w:sz w:val="22"/>
          <w:szCs w:val="22"/>
          <w:lang w:val="en-US"/>
        </w:rPr>
        <w:t>Batyr</w:t>
      </w:r>
      <w:proofErr w:type="spellEnd"/>
      <w:r>
        <w:rPr>
          <w:sz w:val="22"/>
          <w:szCs w:val="22"/>
          <w:lang w:val="en-US"/>
        </w:rPr>
        <w:t>” RC</w:t>
      </w:r>
      <w:r w:rsidRPr="005F00E2">
        <w:rPr>
          <w:sz w:val="22"/>
          <w:szCs w:val="22"/>
          <w:lang w:val="en-US"/>
        </w:rPr>
        <w:t xml:space="preserve"> as well as </w:t>
      </w:r>
      <w:r>
        <w:rPr>
          <w:sz w:val="22"/>
          <w:szCs w:val="22"/>
          <w:lang w:val="en-US"/>
        </w:rPr>
        <w:t>3 (three</w:t>
      </w:r>
      <w:r w:rsidRPr="005F00E2">
        <w:rPr>
          <w:sz w:val="22"/>
          <w:szCs w:val="22"/>
          <w:lang w:val="en-US"/>
        </w:rPr>
        <w:t>) stages</w:t>
      </w:r>
      <w:r>
        <w:rPr>
          <w:sz w:val="22"/>
          <w:szCs w:val="22"/>
          <w:lang w:val="en-US"/>
        </w:rPr>
        <w:t xml:space="preserve"> </w:t>
      </w:r>
      <w:r w:rsidRPr="005F00E2">
        <w:rPr>
          <w:sz w:val="22"/>
          <w:szCs w:val="22"/>
          <w:lang w:val="en-US"/>
        </w:rPr>
        <w:t xml:space="preserve">of “Khan </w:t>
      </w:r>
      <w:proofErr w:type="spellStart"/>
      <w:r w:rsidRPr="005F00E2">
        <w:rPr>
          <w:sz w:val="22"/>
          <w:szCs w:val="22"/>
          <w:lang w:val="en-US"/>
        </w:rPr>
        <w:t>Tengri</w:t>
      </w:r>
      <w:proofErr w:type="spellEnd"/>
      <w:r w:rsidRPr="005F00E2">
        <w:rPr>
          <w:sz w:val="22"/>
          <w:szCs w:val="22"/>
          <w:lang w:val="en-US"/>
        </w:rPr>
        <w:t>” RC in the Almaty region</w:t>
      </w:r>
      <w:r>
        <w:rPr>
          <w:sz w:val="22"/>
          <w:szCs w:val="22"/>
          <w:lang w:val="en-US"/>
        </w:rPr>
        <w:t>. L</w:t>
      </w:r>
      <w:r w:rsidR="002664E4" w:rsidRPr="00691990">
        <w:rPr>
          <w:sz w:val="22"/>
          <w:szCs w:val="22"/>
          <w:lang w:val="en-US"/>
        </w:rPr>
        <w:t xml:space="preserve">ocal content in procurement of contractors </w:t>
      </w:r>
      <w:r>
        <w:rPr>
          <w:sz w:val="22"/>
          <w:szCs w:val="22"/>
          <w:lang w:val="en-US"/>
        </w:rPr>
        <w:t xml:space="preserve">for H1 2012 </w:t>
      </w:r>
      <w:r w:rsidR="002664E4" w:rsidRPr="00691990">
        <w:rPr>
          <w:sz w:val="22"/>
          <w:szCs w:val="22"/>
          <w:lang w:val="en-US"/>
        </w:rPr>
        <w:t xml:space="preserve">was </w:t>
      </w:r>
      <w:r>
        <w:rPr>
          <w:sz w:val="22"/>
          <w:szCs w:val="22"/>
          <w:lang w:val="en-US"/>
        </w:rPr>
        <w:t>74</w:t>
      </w:r>
      <w:r w:rsidR="002664E4" w:rsidRPr="00691990">
        <w:rPr>
          <w:sz w:val="22"/>
          <w:szCs w:val="22"/>
          <w:lang w:val="en-US"/>
        </w:rPr>
        <w:t xml:space="preserve">% (with the plan of </w:t>
      </w:r>
      <w:r>
        <w:rPr>
          <w:sz w:val="22"/>
          <w:szCs w:val="22"/>
          <w:lang w:val="en-US"/>
        </w:rPr>
        <w:t>65</w:t>
      </w:r>
      <w:r w:rsidR="002664E4" w:rsidRPr="00691990">
        <w:rPr>
          <w:sz w:val="22"/>
          <w:szCs w:val="22"/>
          <w:lang w:val="en-US"/>
        </w:rPr>
        <w:t>%);</w:t>
      </w:r>
    </w:p>
    <w:p w:rsidR="002664E4" w:rsidRPr="00691990" w:rsidRDefault="00691990" w:rsidP="00627857">
      <w:pPr>
        <w:pStyle w:val="a3"/>
        <w:widowControl w:val="0"/>
        <w:numPr>
          <w:ilvl w:val="1"/>
          <w:numId w:val="29"/>
        </w:numPr>
        <w:tabs>
          <w:tab w:val="left" w:pos="284"/>
        </w:tabs>
        <w:ind w:left="-567" w:firstLine="567"/>
        <w:jc w:val="both"/>
        <w:rPr>
          <w:sz w:val="22"/>
          <w:szCs w:val="22"/>
          <w:lang w:val="en-US"/>
        </w:rPr>
      </w:pPr>
      <w:r>
        <w:rPr>
          <w:sz w:val="22"/>
          <w:szCs w:val="22"/>
          <w:lang w:val="en-US"/>
        </w:rPr>
        <w:t>“</w:t>
      </w:r>
      <w:r w:rsidRPr="00691990">
        <w:rPr>
          <w:sz w:val="22"/>
          <w:szCs w:val="22"/>
          <w:lang w:val="en-US"/>
        </w:rPr>
        <w:t xml:space="preserve">Affordable Housing </w:t>
      </w:r>
      <w:r>
        <w:rPr>
          <w:sz w:val="22"/>
          <w:szCs w:val="22"/>
          <w:lang w:val="en-US"/>
        </w:rPr>
        <w:t>–</w:t>
      </w:r>
      <w:r w:rsidRPr="00691990">
        <w:rPr>
          <w:sz w:val="22"/>
          <w:szCs w:val="22"/>
          <w:lang w:val="en-US"/>
        </w:rPr>
        <w:t xml:space="preserve"> 2020</w:t>
      </w:r>
      <w:r>
        <w:rPr>
          <w:sz w:val="22"/>
          <w:szCs w:val="22"/>
          <w:lang w:val="en-US"/>
        </w:rPr>
        <w:t>”</w:t>
      </w:r>
      <w:r w:rsidRPr="00691990">
        <w:rPr>
          <w:sz w:val="22"/>
          <w:szCs w:val="22"/>
          <w:lang w:val="en-US"/>
        </w:rPr>
        <w:t xml:space="preserve"> program </w:t>
      </w:r>
      <w:r>
        <w:rPr>
          <w:sz w:val="22"/>
          <w:szCs w:val="22"/>
          <w:lang w:val="en-US"/>
        </w:rPr>
        <w:t xml:space="preserve">was approved </w:t>
      </w:r>
      <w:r w:rsidRPr="00691990">
        <w:rPr>
          <w:sz w:val="22"/>
          <w:szCs w:val="22"/>
          <w:lang w:val="en-US"/>
        </w:rPr>
        <w:t xml:space="preserve">by </w:t>
      </w:r>
      <w:r>
        <w:rPr>
          <w:sz w:val="22"/>
          <w:szCs w:val="22"/>
          <w:lang w:val="en-US"/>
        </w:rPr>
        <w:t xml:space="preserve">Decree of </w:t>
      </w:r>
      <w:r w:rsidRPr="00691990">
        <w:rPr>
          <w:sz w:val="22"/>
          <w:szCs w:val="22"/>
          <w:lang w:val="en-US"/>
        </w:rPr>
        <w:t xml:space="preserve">the Government </w:t>
      </w:r>
      <w:r>
        <w:rPr>
          <w:sz w:val="22"/>
          <w:szCs w:val="22"/>
          <w:lang w:val="en-US"/>
        </w:rPr>
        <w:t>#</w:t>
      </w:r>
      <w:r w:rsidRPr="00691990">
        <w:rPr>
          <w:sz w:val="22"/>
          <w:szCs w:val="22"/>
          <w:lang w:val="en-US"/>
        </w:rPr>
        <w:t xml:space="preserve"> 821 </w:t>
      </w:r>
      <w:r>
        <w:rPr>
          <w:sz w:val="22"/>
          <w:szCs w:val="22"/>
          <w:lang w:val="en-US"/>
        </w:rPr>
        <w:t>dated</w:t>
      </w:r>
      <w:r w:rsidRPr="00691990">
        <w:rPr>
          <w:sz w:val="22"/>
          <w:szCs w:val="22"/>
          <w:lang w:val="en-US"/>
        </w:rPr>
        <w:t xml:space="preserve"> 21 June 2012.</w:t>
      </w:r>
    </w:p>
    <w:p w:rsidR="002664E4" w:rsidRPr="00A47A23" w:rsidRDefault="002664E4" w:rsidP="00627857">
      <w:pPr>
        <w:widowControl w:val="0"/>
        <w:tabs>
          <w:tab w:val="left" w:pos="-900"/>
          <w:tab w:val="left" w:pos="284"/>
        </w:tabs>
        <w:ind w:left="-567" w:firstLine="567"/>
        <w:jc w:val="both"/>
        <w:rPr>
          <w:color w:val="FF0000"/>
          <w:sz w:val="22"/>
          <w:szCs w:val="22"/>
          <w:lang w:val="en-US"/>
        </w:rPr>
      </w:pPr>
      <w:r>
        <w:rPr>
          <w:sz w:val="22"/>
          <w:szCs w:val="22"/>
          <w:lang w:val="en-US"/>
        </w:rPr>
        <w:t>Since</w:t>
      </w:r>
      <w:r w:rsidRPr="00A47A23">
        <w:rPr>
          <w:sz w:val="22"/>
          <w:szCs w:val="22"/>
          <w:lang w:val="en-US"/>
        </w:rPr>
        <w:t xml:space="preserve"> 2</w:t>
      </w:r>
      <w:r w:rsidRPr="00A47A23">
        <w:rPr>
          <w:color w:val="000000"/>
          <w:sz w:val="22"/>
          <w:szCs w:val="22"/>
          <w:lang w:val="en-US"/>
        </w:rPr>
        <w:t xml:space="preserve">011 </w:t>
      </w:r>
      <w:r w:rsidR="00375D4C" w:rsidRPr="00375D4C">
        <w:rPr>
          <w:b/>
          <w:color w:val="000000"/>
          <w:sz w:val="22"/>
          <w:szCs w:val="22"/>
          <w:lang w:val="en-US"/>
        </w:rPr>
        <w:t xml:space="preserve">“Kazyna Capital Management” JSC </w:t>
      </w:r>
      <w:r w:rsidR="00375D4C" w:rsidRPr="00375D4C">
        <w:rPr>
          <w:color w:val="000000"/>
          <w:sz w:val="22"/>
          <w:szCs w:val="22"/>
          <w:lang w:val="en-US"/>
        </w:rPr>
        <w:t xml:space="preserve">(hereinafter – </w:t>
      </w:r>
      <w:r w:rsidRPr="00375D4C">
        <w:rPr>
          <w:color w:val="000000"/>
          <w:sz w:val="22"/>
          <w:szCs w:val="22"/>
        </w:rPr>
        <w:t>КСМ</w:t>
      </w:r>
      <w:r w:rsidR="00375D4C" w:rsidRPr="00375D4C">
        <w:rPr>
          <w:color w:val="000000"/>
          <w:sz w:val="22"/>
          <w:szCs w:val="22"/>
          <w:lang w:val="en-US"/>
        </w:rPr>
        <w:t>)</w:t>
      </w:r>
      <w:r w:rsidRPr="00A47A23">
        <w:rPr>
          <w:color w:val="000000"/>
          <w:sz w:val="22"/>
          <w:szCs w:val="22"/>
          <w:lang w:val="en-US"/>
        </w:rPr>
        <w:t xml:space="preserve"> </w:t>
      </w:r>
      <w:r>
        <w:rPr>
          <w:color w:val="000000"/>
          <w:sz w:val="22"/>
          <w:szCs w:val="22"/>
          <w:lang w:val="en-US"/>
        </w:rPr>
        <w:t>is in the trust management of the Ministry of Industry and New Technologies.</w:t>
      </w:r>
      <w:r w:rsidRPr="00A47A23">
        <w:rPr>
          <w:color w:val="000000"/>
          <w:sz w:val="22"/>
          <w:szCs w:val="22"/>
          <w:lang w:val="en-US"/>
        </w:rPr>
        <w:t xml:space="preserve"> </w:t>
      </w:r>
      <w:r w:rsidRPr="00A47A23">
        <w:rPr>
          <w:color w:val="FF0000"/>
          <w:sz w:val="22"/>
          <w:szCs w:val="22"/>
          <w:lang w:val="en-US"/>
        </w:rPr>
        <w:t xml:space="preserve"> </w:t>
      </w:r>
    </w:p>
    <w:p w:rsidR="002664E4" w:rsidRPr="00A47A23" w:rsidRDefault="002664E4" w:rsidP="00627857">
      <w:pPr>
        <w:widowControl w:val="0"/>
        <w:tabs>
          <w:tab w:val="left" w:pos="-900"/>
          <w:tab w:val="left" w:pos="284"/>
        </w:tabs>
        <w:ind w:left="-567" w:firstLine="567"/>
        <w:jc w:val="both"/>
        <w:rPr>
          <w:sz w:val="22"/>
          <w:szCs w:val="22"/>
          <w:lang w:val="en-US"/>
        </w:rPr>
      </w:pPr>
      <w:r w:rsidRPr="00A47A23">
        <w:rPr>
          <w:sz w:val="22"/>
          <w:szCs w:val="22"/>
          <w:lang w:val="en-US"/>
        </w:rPr>
        <w:t xml:space="preserve">The </w:t>
      </w:r>
      <w:r>
        <w:rPr>
          <w:sz w:val="22"/>
          <w:szCs w:val="22"/>
          <w:lang w:val="en-US"/>
        </w:rPr>
        <w:t>main</w:t>
      </w:r>
      <w:r w:rsidRPr="00A47A23">
        <w:rPr>
          <w:sz w:val="22"/>
          <w:szCs w:val="22"/>
          <w:lang w:val="en-US"/>
        </w:rPr>
        <w:t xml:space="preserve"> activities of </w:t>
      </w:r>
      <w:r>
        <w:rPr>
          <w:sz w:val="22"/>
          <w:szCs w:val="22"/>
          <w:lang w:val="en-US"/>
        </w:rPr>
        <w:t>KC</w:t>
      </w:r>
      <w:r w:rsidRPr="00A47A23">
        <w:rPr>
          <w:sz w:val="22"/>
          <w:szCs w:val="22"/>
          <w:lang w:val="en-US"/>
        </w:rPr>
        <w:t xml:space="preserve">M are </w:t>
      </w:r>
      <w:r>
        <w:rPr>
          <w:sz w:val="22"/>
          <w:szCs w:val="22"/>
          <w:lang w:val="en-US"/>
        </w:rPr>
        <w:t>to create</w:t>
      </w:r>
      <w:r w:rsidRPr="00A47A23">
        <w:rPr>
          <w:sz w:val="22"/>
          <w:szCs w:val="22"/>
          <w:lang w:val="en-US"/>
        </w:rPr>
        <w:t xml:space="preserve"> and participat</w:t>
      </w:r>
      <w:r>
        <w:rPr>
          <w:sz w:val="22"/>
          <w:szCs w:val="22"/>
          <w:lang w:val="en-US"/>
        </w:rPr>
        <w:t>e</w:t>
      </w:r>
      <w:r w:rsidRPr="00A47A23">
        <w:rPr>
          <w:sz w:val="22"/>
          <w:szCs w:val="22"/>
          <w:lang w:val="en-US"/>
        </w:rPr>
        <w:t xml:space="preserve"> in private equity funds and investments in financial instruments. The structure of the </w:t>
      </w:r>
      <w:r>
        <w:rPr>
          <w:sz w:val="22"/>
          <w:szCs w:val="22"/>
          <w:lang w:val="en-US"/>
        </w:rPr>
        <w:t>KC</w:t>
      </w:r>
      <w:r w:rsidRPr="00A47A23">
        <w:rPr>
          <w:sz w:val="22"/>
          <w:szCs w:val="22"/>
          <w:lang w:val="en-US"/>
        </w:rPr>
        <w:t xml:space="preserve">M </w:t>
      </w:r>
      <w:r>
        <w:rPr>
          <w:sz w:val="22"/>
          <w:szCs w:val="22"/>
          <w:lang w:val="en-US"/>
        </w:rPr>
        <w:t>includes</w:t>
      </w:r>
      <w:r w:rsidRPr="00A47A23">
        <w:rPr>
          <w:sz w:val="22"/>
          <w:szCs w:val="22"/>
          <w:lang w:val="en-US"/>
        </w:rPr>
        <w:t xml:space="preserve"> 1</w:t>
      </w:r>
      <w:r w:rsidR="00BA1ECB">
        <w:rPr>
          <w:sz w:val="22"/>
          <w:szCs w:val="22"/>
          <w:lang w:val="en-US"/>
        </w:rPr>
        <w:t>9</w:t>
      </w:r>
      <w:r w:rsidRPr="00A47A23">
        <w:rPr>
          <w:sz w:val="22"/>
          <w:szCs w:val="22"/>
          <w:lang w:val="en-US"/>
        </w:rPr>
        <w:t xml:space="preserve"> companies on </w:t>
      </w:r>
      <w:r>
        <w:rPr>
          <w:sz w:val="22"/>
          <w:szCs w:val="22"/>
          <w:lang w:val="en-US"/>
        </w:rPr>
        <w:t>3</w:t>
      </w:r>
      <w:r w:rsidRPr="00A47A23">
        <w:rPr>
          <w:sz w:val="22"/>
          <w:szCs w:val="22"/>
          <w:lang w:val="en-US"/>
        </w:rPr>
        <w:t xml:space="preserve"> levels.</w:t>
      </w:r>
    </w:p>
    <w:p w:rsidR="002664E4" w:rsidRPr="00F11A34" w:rsidRDefault="005C494F" w:rsidP="00627857">
      <w:pPr>
        <w:widowControl w:val="0"/>
        <w:tabs>
          <w:tab w:val="left" w:pos="-900"/>
          <w:tab w:val="left" w:pos="284"/>
        </w:tabs>
        <w:ind w:left="-567" w:firstLine="567"/>
        <w:jc w:val="both"/>
        <w:rPr>
          <w:sz w:val="22"/>
          <w:szCs w:val="22"/>
          <w:lang w:val="en-US"/>
        </w:rPr>
      </w:pPr>
      <w:r w:rsidRPr="005C494F">
        <w:rPr>
          <w:b/>
          <w:color w:val="000000"/>
          <w:sz w:val="22"/>
          <w:szCs w:val="22"/>
          <w:lang w:val="en-US"/>
        </w:rPr>
        <w:t>“Investment Fund of Kazakhstan” JSC</w:t>
      </w:r>
      <w:r>
        <w:rPr>
          <w:b/>
          <w:sz w:val="22"/>
          <w:szCs w:val="22"/>
          <w:lang w:val="en-US"/>
        </w:rPr>
        <w:t xml:space="preserve"> </w:t>
      </w:r>
      <w:r w:rsidRPr="005C494F">
        <w:rPr>
          <w:sz w:val="22"/>
          <w:szCs w:val="22"/>
          <w:lang w:val="en-US"/>
        </w:rPr>
        <w:t xml:space="preserve">(hereinafter – </w:t>
      </w:r>
      <w:r w:rsidR="002664E4" w:rsidRPr="005C494F">
        <w:rPr>
          <w:sz w:val="22"/>
          <w:szCs w:val="22"/>
          <w:lang w:val="en-US"/>
        </w:rPr>
        <w:t>IFK</w:t>
      </w:r>
      <w:r w:rsidRPr="005C494F">
        <w:rPr>
          <w:sz w:val="22"/>
          <w:szCs w:val="22"/>
          <w:lang w:val="en-US"/>
        </w:rPr>
        <w:t>)</w:t>
      </w:r>
      <w:r w:rsidR="002664E4" w:rsidRPr="00F11A34">
        <w:rPr>
          <w:sz w:val="22"/>
          <w:szCs w:val="22"/>
          <w:lang w:val="en-US"/>
        </w:rPr>
        <w:t xml:space="preserve"> </w:t>
      </w:r>
      <w:r w:rsidR="002664E4">
        <w:rPr>
          <w:sz w:val="22"/>
          <w:szCs w:val="22"/>
          <w:lang w:val="en-US"/>
        </w:rPr>
        <w:t xml:space="preserve">was </w:t>
      </w:r>
      <w:r w:rsidR="002664E4" w:rsidRPr="00F11A34">
        <w:rPr>
          <w:sz w:val="22"/>
          <w:szCs w:val="22"/>
          <w:lang w:val="en-US"/>
        </w:rPr>
        <w:t xml:space="preserve">established on the basis of the </w:t>
      </w:r>
      <w:r w:rsidR="002664E4">
        <w:rPr>
          <w:sz w:val="22"/>
          <w:szCs w:val="22"/>
          <w:lang w:val="en-US"/>
        </w:rPr>
        <w:t>Decree</w:t>
      </w:r>
      <w:r w:rsidR="002664E4" w:rsidRPr="00F11A34">
        <w:rPr>
          <w:sz w:val="22"/>
          <w:szCs w:val="22"/>
          <w:lang w:val="en-US"/>
        </w:rPr>
        <w:t xml:space="preserve"> of the Government of the Republic of Kazakhstan </w:t>
      </w:r>
      <w:r w:rsidR="00A4597C">
        <w:rPr>
          <w:sz w:val="22"/>
          <w:szCs w:val="22"/>
          <w:lang w:val="en-US"/>
        </w:rPr>
        <w:t>#</w:t>
      </w:r>
      <w:r w:rsidR="002664E4" w:rsidRPr="00F11A34">
        <w:rPr>
          <w:sz w:val="22"/>
          <w:szCs w:val="22"/>
          <w:lang w:val="en-US"/>
        </w:rPr>
        <w:t xml:space="preserve"> 501 </w:t>
      </w:r>
      <w:r w:rsidR="002664E4">
        <w:rPr>
          <w:sz w:val="22"/>
          <w:szCs w:val="22"/>
          <w:lang w:val="en-US"/>
        </w:rPr>
        <w:t xml:space="preserve">dated </w:t>
      </w:r>
      <w:r w:rsidR="002664E4" w:rsidRPr="00F11A34">
        <w:rPr>
          <w:sz w:val="22"/>
          <w:szCs w:val="22"/>
          <w:lang w:val="en-US"/>
        </w:rPr>
        <w:t>May 30, 2003 to assist in the implementation of industrial and innovation policy of the Republic of Kazakhstan by implementing and attracting investments into promising organizations</w:t>
      </w:r>
      <w:r w:rsidR="002664E4">
        <w:rPr>
          <w:sz w:val="22"/>
          <w:szCs w:val="22"/>
          <w:lang w:val="en-US"/>
        </w:rPr>
        <w:t>,</w:t>
      </w:r>
      <w:r w:rsidR="002664E4" w:rsidRPr="00F11A34">
        <w:rPr>
          <w:sz w:val="22"/>
          <w:szCs w:val="22"/>
          <w:lang w:val="en-US"/>
        </w:rPr>
        <w:t xml:space="preserve"> provid</w:t>
      </w:r>
      <w:r w:rsidR="002664E4">
        <w:rPr>
          <w:sz w:val="22"/>
          <w:szCs w:val="22"/>
          <w:lang w:val="en-US"/>
        </w:rPr>
        <w:t>ing</w:t>
      </w:r>
      <w:r w:rsidR="002664E4" w:rsidRPr="00F11A34">
        <w:rPr>
          <w:sz w:val="22"/>
          <w:szCs w:val="22"/>
          <w:lang w:val="en-US"/>
        </w:rPr>
        <w:t xml:space="preserve"> financial support to private sector initiatives to create competitive industries in the non-primary sector of the economy. IFC is in </w:t>
      </w:r>
      <w:r w:rsidR="002664E4">
        <w:rPr>
          <w:sz w:val="22"/>
          <w:szCs w:val="22"/>
          <w:lang w:val="en-US"/>
        </w:rPr>
        <w:t>the trust management of the Ministry of Industry and New T</w:t>
      </w:r>
      <w:r w:rsidR="002664E4" w:rsidRPr="00F11A34">
        <w:rPr>
          <w:sz w:val="22"/>
          <w:szCs w:val="22"/>
          <w:lang w:val="en-US"/>
        </w:rPr>
        <w:t xml:space="preserve">echnologies. The structure of the IFC </w:t>
      </w:r>
      <w:r w:rsidR="002664E4">
        <w:rPr>
          <w:sz w:val="22"/>
          <w:szCs w:val="22"/>
          <w:lang w:val="en-US"/>
        </w:rPr>
        <w:t>includes</w:t>
      </w:r>
      <w:r w:rsidR="002664E4" w:rsidRPr="00F11A34">
        <w:rPr>
          <w:sz w:val="22"/>
          <w:szCs w:val="22"/>
          <w:lang w:val="en-US"/>
        </w:rPr>
        <w:t xml:space="preserve"> 5</w:t>
      </w:r>
      <w:r w:rsidR="00D3471A" w:rsidRPr="00B5727B">
        <w:rPr>
          <w:sz w:val="22"/>
          <w:szCs w:val="22"/>
          <w:lang w:val="en-US"/>
        </w:rPr>
        <w:t>1</w:t>
      </w:r>
      <w:r w:rsidR="002664E4" w:rsidRPr="00F11A34">
        <w:rPr>
          <w:sz w:val="22"/>
          <w:szCs w:val="22"/>
          <w:lang w:val="en-US"/>
        </w:rPr>
        <w:t xml:space="preserve"> companies on </w:t>
      </w:r>
      <w:r w:rsidR="002664E4">
        <w:rPr>
          <w:sz w:val="22"/>
          <w:szCs w:val="22"/>
          <w:lang w:val="en-US"/>
        </w:rPr>
        <w:t xml:space="preserve">4 </w:t>
      </w:r>
      <w:r w:rsidR="002664E4" w:rsidRPr="00F11A34">
        <w:rPr>
          <w:sz w:val="22"/>
          <w:szCs w:val="22"/>
          <w:lang w:val="en-US"/>
        </w:rPr>
        <w:t>levels.</w:t>
      </w:r>
    </w:p>
    <w:p w:rsidR="002664E4" w:rsidRDefault="00886D27" w:rsidP="002664E4">
      <w:pPr>
        <w:widowControl w:val="0"/>
        <w:tabs>
          <w:tab w:val="left" w:pos="-900"/>
          <w:tab w:val="left" w:pos="142"/>
          <w:tab w:val="left" w:pos="426"/>
        </w:tabs>
        <w:ind w:left="-567" w:firstLine="567"/>
        <w:jc w:val="both"/>
        <w:rPr>
          <w:sz w:val="22"/>
          <w:szCs w:val="22"/>
          <w:lang w:val="en-US"/>
        </w:rPr>
      </w:pPr>
      <w:r>
        <w:rPr>
          <w:sz w:val="22"/>
          <w:szCs w:val="22"/>
          <w:lang w:val="en-US"/>
        </w:rPr>
        <w:t xml:space="preserve">In </w:t>
      </w:r>
      <w:r w:rsidR="005C494F">
        <w:rPr>
          <w:sz w:val="22"/>
          <w:szCs w:val="22"/>
          <w:lang w:val="en-US"/>
        </w:rPr>
        <w:t>the reporting period</w:t>
      </w:r>
      <w:r>
        <w:rPr>
          <w:sz w:val="22"/>
          <w:szCs w:val="22"/>
          <w:lang w:val="en-US"/>
        </w:rPr>
        <w:t>, IFK</w:t>
      </w:r>
      <w:r w:rsidR="002664E4" w:rsidRPr="00F11A34">
        <w:rPr>
          <w:sz w:val="22"/>
          <w:szCs w:val="22"/>
          <w:lang w:val="en-US"/>
        </w:rPr>
        <w:t xml:space="preserve"> has carried out three full </w:t>
      </w:r>
      <w:r w:rsidR="002664E4">
        <w:rPr>
          <w:sz w:val="22"/>
          <w:szCs w:val="22"/>
          <w:lang w:val="en-US"/>
        </w:rPr>
        <w:t xml:space="preserve">exits from </w:t>
      </w:r>
      <w:r w:rsidR="005C494F">
        <w:rPr>
          <w:sz w:val="22"/>
          <w:szCs w:val="22"/>
          <w:lang w:val="en-US"/>
        </w:rPr>
        <w:t>the projects: “</w:t>
      </w:r>
      <w:proofErr w:type="spellStart"/>
      <w:r w:rsidR="005C494F" w:rsidRPr="005C494F">
        <w:rPr>
          <w:sz w:val="22"/>
          <w:szCs w:val="22"/>
          <w:lang w:val="en-US"/>
        </w:rPr>
        <w:t>KazGeoCosmos</w:t>
      </w:r>
      <w:proofErr w:type="spellEnd"/>
      <w:r w:rsidR="005C494F">
        <w:rPr>
          <w:sz w:val="22"/>
          <w:szCs w:val="22"/>
          <w:lang w:val="en-US"/>
        </w:rPr>
        <w:t>”</w:t>
      </w:r>
      <w:r w:rsidR="005C494F" w:rsidRPr="005C494F">
        <w:rPr>
          <w:sz w:val="22"/>
          <w:szCs w:val="22"/>
          <w:lang w:val="en-US"/>
        </w:rPr>
        <w:t xml:space="preserve"> JSC</w:t>
      </w:r>
      <w:r w:rsidR="005C494F">
        <w:rPr>
          <w:sz w:val="22"/>
          <w:szCs w:val="22"/>
          <w:lang w:val="en-US"/>
        </w:rPr>
        <w:t>, “ZKKSM”</w:t>
      </w:r>
      <w:r w:rsidR="005C494F" w:rsidRPr="005C494F">
        <w:rPr>
          <w:sz w:val="22"/>
          <w:szCs w:val="22"/>
          <w:lang w:val="en-US"/>
        </w:rPr>
        <w:t xml:space="preserve"> </w:t>
      </w:r>
      <w:r w:rsidR="005C494F">
        <w:rPr>
          <w:sz w:val="22"/>
          <w:szCs w:val="22"/>
          <w:lang w:val="en-US"/>
        </w:rPr>
        <w:t>JSC,</w:t>
      </w:r>
      <w:r w:rsidR="006A3EE4">
        <w:rPr>
          <w:sz w:val="22"/>
          <w:szCs w:val="22"/>
          <w:lang w:val="en-US"/>
        </w:rPr>
        <w:t xml:space="preserve"> “</w:t>
      </w:r>
      <w:proofErr w:type="spellStart"/>
      <w:r w:rsidR="006A3EE4">
        <w:rPr>
          <w:sz w:val="22"/>
          <w:szCs w:val="22"/>
          <w:lang w:val="en-US"/>
        </w:rPr>
        <w:t>Yustal</w:t>
      </w:r>
      <w:proofErr w:type="spellEnd"/>
      <w:r w:rsidR="005C494F" w:rsidRPr="005C494F">
        <w:rPr>
          <w:sz w:val="22"/>
          <w:szCs w:val="22"/>
          <w:lang w:val="en-US"/>
        </w:rPr>
        <w:t>-</w:t>
      </w:r>
      <w:r w:rsidR="006A3EE4" w:rsidRPr="005C494F">
        <w:rPr>
          <w:sz w:val="22"/>
          <w:szCs w:val="22"/>
          <w:lang w:val="en-US"/>
        </w:rPr>
        <w:t>CONTRACT</w:t>
      </w:r>
      <w:r w:rsidR="006A3EE4">
        <w:rPr>
          <w:sz w:val="22"/>
          <w:szCs w:val="22"/>
          <w:lang w:val="en-US"/>
        </w:rPr>
        <w:t>”</w:t>
      </w:r>
      <w:r w:rsidR="006A3EE4" w:rsidRPr="005C494F">
        <w:rPr>
          <w:sz w:val="22"/>
          <w:szCs w:val="22"/>
          <w:lang w:val="en-US"/>
        </w:rPr>
        <w:t xml:space="preserve"> </w:t>
      </w:r>
      <w:r w:rsidR="005C494F" w:rsidRPr="005C494F">
        <w:rPr>
          <w:sz w:val="22"/>
          <w:szCs w:val="22"/>
          <w:lang w:val="en-US"/>
        </w:rPr>
        <w:t>JSC.</w:t>
      </w:r>
    </w:p>
    <w:p w:rsidR="002664E4" w:rsidRPr="00F11A34" w:rsidRDefault="00C36920" w:rsidP="002664E4">
      <w:pPr>
        <w:widowControl w:val="0"/>
        <w:tabs>
          <w:tab w:val="left" w:pos="-900"/>
          <w:tab w:val="left" w:pos="142"/>
          <w:tab w:val="left" w:pos="426"/>
        </w:tabs>
        <w:ind w:left="-567" w:firstLine="567"/>
        <w:jc w:val="both"/>
        <w:rPr>
          <w:color w:val="000000"/>
          <w:sz w:val="22"/>
          <w:szCs w:val="22"/>
          <w:lang w:val="en-US"/>
        </w:rPr>
      </w:pPr>
      <w:r w:rsidRPr="00C36920">
        <w:rPr>
          <w:b/>
          <w:color w:val="000000"/>
          <w:sz w:val="22"/>
          <w:szCs w:val="22"/>
          <w:lang w:val="en-US"/>
        </w:rPr>
        <w:t>“</w:t>
      </w:r>
      <w:proofErr w:type="spellStart"/>
      <w:r w:rsidRPr="00C36920">
        <w:rPr>
          <w:b/>
          <w:color w:val="000000"/>
          <w:sz w:val="22"/>
          <w:szCs w:val="22"/>
          <w:lang w:val="en-US"/>
        </w:rPr>
        <w:t>KazExportGarant</w:t>
      </w:r>
      <w:proofErr w:type="spellEnd"/>
      <w:r w:rsidRPr="00C36920">
        <w:rPr>
          <w:b/>
          <w:color w:val="000000"/>
          <w:sz w:val="22"/>
          <w:szCs w:val="22"/>
          <w:lang w:val="en-US"/>
        </w:rPr>
        <w:t>” JSC</w:t>
      </w:r>
      <w:r>
        <w:rPr>
          <w:b/>
          <w:sz w:val="22"/>
          <w:szCs w:val="22"/>
          <w:lang w:val="en-US"/>
        </w:rPr>
        <w:t xml:space="preserve"> </w:t>
      </w:r>
      <w:r w:rsidRPr="00C36920">
        <w:rPr>
          <w:sz w:val="22"/>
          <w:szCs w:val="22"/>
          <w:lang w:val="en-US"/>
        </w:rPr>
        <w:t xml:space="preserve">(hereinafter – </w:t>
      </w:r>
      <w:proofErr w:type="spellStart"/>
      <w:r w:rsidR="002664E4" w:rsidRPr="00C36920">
        <w:rPr>
          <w:sz w:val="22"/>
          <w:szCs w:val="22"/>
          <w:lang w:val="en-US"/>
        </w:rPr>
        <w:t>KazExportGarant</w:t>
      </w:r>
      <w:proofErr w:type="spellEnd"/>
      <w:r w:rsidRPr="00C36920">
        <w:rPr>
          <w:sz w:val="22"/>
          <w:szCs w:val="22"/>
          <w:lang w:val="en-US"/>
        </w:rPr>
        <w:t>)</w:t>
      </w:r>
      <w:r w:rsidR="002664E4" w:rsidRPr="00F11A34">
        <w:rPr>
          <w:color w:val="000000"/>
          <w:sz w:val="22"/>
          <w:szCs w:val="22"/>
          <w:lang w:val="en-US"/>
        </w:rPr>
        <w:t xml:space="preserve"> performs the functions of export-credit agency of the Republic of Kazakhstan by supporting </w:t>
      </w:r>
      <w:r w:rsidR="002664E4">
        <w:rPr>
          <w:color w:val="000000"/>
          <w:sz w:val="22"/>
          <w:szCs w:val="22"/>
          <w:lang w:val="en-US"/>
        </w:rPr>
        <w:t xml:space="preserve">exporters of </w:t>
      </w:r>
      <w:r w:rsidR="002664E4" w:rsidRPr="00F11A34">
        <w:rPr>
          <w:color w:val="000000"/>
          <w:sz w:val="22"/>
          <w:szCs w:val="22"/>
          <w:lang w:val="en-US"/>
        </w:rPr>
        <w:t>non-</w:t>
      </w:r>
      <w:r w:rsidR="00886D27" w:rsidRPr="00F11A34">
        <w:rPr>
          <w:color w:val="000000"/>
          <w:sz w:val="22"/>
          <w:szCs w:val="22"/>
          <w:lang w:val="en-US"/>
        </w:rPr>
        <w:t xml:space="preserve">commodity </w:t>
      </w:r>
      <w:r w:rsidR="00886D27">
        <w:rPr>
          <w:color w:val="000000"/>
          <w:sz w:val="22"/>
          <w:szCs w:val="22"/>
          <w:lang w:val="en-US"/>
        </w:rPr>
        <w:t>sector</w:t>
      </w:r>
      <w:r w:rsidR="002664E4">
        <w:rPr>
          <w:color w:val="000000"/>
          <w:sz w:val="22"/>
          <w:szCs w:val="22"/>
          <w:lang w:val="en-US"/>
        </w:rPr>
        <w:t xml:space="preserve"> of</w:t>
      </w:r>
      <w:r w:rsidR="002664E4" w:rsidRPr="00F11A34">
        <w:rPr>
          <w:color w:val="000000"/>
          <w:sz w:val="22"/>
          <w:szCs w:val="22"/>
          <w:lang w:val="en-US"/>
        </w:rPr>
        <w:t xml:space="preserve"> the country with the tools of insurance (reinsurance) of export credits against commercial and political risks. </w:t>
      </w:r>
      <w:proofErr w:type="spellStart"/>
      <w:r w:rsidR="002664E4" w:rsidRPr="00F11A34">
        <w:rPr>
          <w:color w:val="000000"/>
          <w:sz w:val="22"/>
          <w:szCs w:val="22"/>
          <w:lang w:val="en-US"/>
        </w:rPr>
        <w:t>KazExportGarant</w:t>
      </w:r>
      <w:proofErr w:type="spellEnd"/>
      <w:r w:rsidR="002664E4" w:rsidRPr="00F11A34">
        <w:rPr>
          <w:color w:val="000000"/>
          <w:sz w:val="22"/>
          <w:szCs w:val="22"/>
          <w:lang w:val="en-US"/>
        </w:rPr>
        <w:t xml:space="preserve"> since 2011 is in </w:t>
      </w:r>
      <w:r w:rsidR="002664E4">
        <w:rPr>
          <w:color w:val="000000"/>
          <w:sz w:val="22"/>
          <w:szCs w:val="22"/>
          <w:lang w:val="en-US"/>
        </w:rPr>
        <w:t>the trust management</w:t>
      </w:r>
      <w:r w:rsidR="002664E4" w:rsidRPr="00F11A34">
        <w:rPr>
          <w:color w:val="000000"/>
          <w:sz w:val="22"/>
          <w:szCs w:val="22"/>
          <w:lang w:val="en-US"/>
        </w:rPr>
        <w:t xml:space="preserve"> </w:t>
      </w:r>
      <w:r w:rsidR="002664E4">
        <w:rPr>
          <w:color w:val="000000"/>
          <w:sz w:val="22"/>
          <w:szCs w:val="22"/>
          <w:lang w:val="en-US"/>
        </w:rPr>
        <w:t>of the Ministry of Industry and New T</w:t>
      </w:r>
      <w:r w:rsidR="002664E4" w:rsidRPr="00F11A34">
        <w:rPr>
          <w:color w:val="000000"/>
          <w:sz w:val="22"/>
          <w:szCs w:val="22"/>
          <w:lang w:val="en-US"/>
        </w:rPr>
        <w:t>echnologies.</w:t>
      </w:r>
    </w:p>
    <w:p w:rsidR="002664E4" w:rsidRDefault="002664E4" w:rsidP="002664E4">
      <w:pPr>
        <w:widowControl w:val="0"/>
        <w:tabs>
          <w:tab w:val="left" w:pos="-900"/>
          <w:tab w:val="left" w:pos="142"/>
          <w:tab w:val="left" w:pos="426"/>
        </w:tabs>
        <w:ind w:left="-567" w:firstLine="567"/>
        <w:jc w:val="both"/>
        <w:rPr>
          <w:color w:val="000000"/>
          <w:sz w:val="22"/>
          <w:szCs w:val="22"/>
          <w:lang w:val="en-US"/>
        </w:rPr>
      </w:pPr>
      <w:r>
        <w:rPr>
          <w:color w:val="000000"/>
          <w:sz w:val="22"/>
          <w:szCs w:val="22"/>
          <w:lang w:val="en-US"/>
        </w:rPr>
        <w:t>It t</w:t>
      </w:r>
      <w:r w:rsidRPr="00F11A34">
        <w:rPr>
          <w:color w:val="000000"/>
          <w:sz w:val="22"/>
          <w:szCs w:val="22"/>
          <w:lang w:val="en-US"/>
        </w:rPr>
        <w:t xml:space="preserve">akes </w:t>
      </w:r>
      <w:r w:rsidR="00C36920">
        <w:rPr>
          <w:color w:val="000000"/>
          <w:sz w:val="22"/>
          <w:szCs w:val="22"/>
          <w:lang w:val="en-US"/>
        </w:rPr>
        <w:t>0.58</w:t>
      </w:r>
      <w:r w:rsidRPr="00F11A34">
        <w:rPr>
          <w:color w:val="000000"/>
          <w:sz w:val="22"/>
          <w:szCs w:val="22"/>
          <w:lang w:val="en-US"/>
        </w:rPr>
        <w:t xml:space="preserve">% in </w:t>
      </w:r>
      <w:r w:rsidR="00C36920">
        <w:rPr>
          <w:color w:val="000000"/>
          <w:sz w:val="22"/>
          <w:szCs w:val="22"/>
          <w:lang w:val="en-US"/>
        </w:rPr>
        <w:t>H1 2011 and 0.68</w:t>
      </w:r>
      <w:r w:rsidRPr="00F11A34">
        <w:rPr>
          <w:color w:val="000000"/>
          <w:sz w:val="22"/>
          <w:szCs w:val="22"/>
          <w:lang w:val="en-US"/>
        </w:rPr>
        <w:t xml:space="preserve">% in </w:t>
      </w:r>
      <w:r w:rsidR="00C36920">
        <w:rPr>
          <w:color w:val="000000"/>
          <w:sz w:val="22"/>
          <w:szCs w:val="22"/>
          <w:lang w:val="en-US"/>
        </w:rPr>
        <w:t xml:space="preserve">H1 </w:t>
      </w:r>
      <w:r w:rsidRPr="00F11A34">
        <w:rPr>
          <w:color w:val="000000"/>
          <w:sz w:val="22"/>
          <w:szCs w:val="22"/>
          <w:lang w:val="en-US"/>
        </w:rPr>
        <w:t>201</w:t>
      </w:r>
      <w:r w:rsidR="00C36920">
        <w:rPr>
          <w:color w:val="000000"/>
          <w:sz w:val="22"/>
          <w:szCs w:val="22"/>
          <w:lang w:val="en-US"/>
        </w:rPr>
        <w:t>2</w:t>
      </w:r>
      <w:r>
        <w:rPr>
          <w:color w:val="000000"/>
          <w:sz w:val="22"/>
          <w:szCs w:val="22"/>
          <w:lang w:val="en-US"/>
        </w:rPr>
        <w:t xml:space="preserve"> </w:t>
      </w:r>
      <w:r w:rsidR="00C36920">
        <w:rPr>
          <w:color w:val="000000"/>
          <w:sz w:val="22"/>
          <w:szCs w:val="22"/>
          <w:lang w:val="en-US"/>
        </w:rPr>
        <w:t xml:space="preserve">on the reinsurance market; </w:t>
      </w:r>
      <w:r w:rsidRPr="00F11A34">
        <w:rPr>
          <w:color w:val="000000"/>
          <w:sz w:val="22"/>
          <w:szCs w:val="22"/>
          <w:lang w:val="en-US"/>
        </w:rPr>
        <w:t xml:space="preserve">the growth of the share </w:t>
      </w:r>
      <w:r w:rsidR="00C36920">
        <w:rPr>
          <w:color w:val="000000"/>
          <w:sz w:val="22"/>
          <w:szCs w:val="22"/>
          <w:lang w:val="en-US"/>
        </w:rPr>
        <w:t>is explained at</w:t>
      </w:r>
      <w:r w:rsidRPr="00F11A34">
        <w:rPr>
          <w:color w:val="000000"/>
          <w:sz w:val="22"/>
          <w:szCs w:val="22"/>
          <w:lang w:val="en-US"/>
        </w:rPr>
        <w:t xml:space="preserve"> the expense of </w:t>
      </w:r>
      <w:r w:rsidR="00C36920" w:rsidRPr="00C36920">
        <w:rPr>
          <w:color w:val="000000"/>
          <w:sz w:val="22"/>
          <w:szCs w:val="22"/>
          <w:lang w:val="en-US"/>
        </w:rPr>
        <w:t xml:space="preserve">increasing share of compulsory accident insurance of employees </w:t>
      </w:r>
      <w:r w:rsidR="00C36920">
        <w:rPr>
          <w:color w:val="000000"/>
          <w:sz w:val="22"/>
          <w:szCs w:val="22"/>
          <w:lang w:val="en-US"/>
        </w:rPr>
        <w:t>(CAIE</w:t>
      </w:r>
      <w:r w:rsidR="00C36920" w:rsidRPr="00C36920">
        <w:rPr>
          <w:color w:val="000000"/>
          <w:sz w:val="22"/>
          <w:szCs w:val="22"/>
          <w:lang w:val="en-US"/>
        </w:rPr>
        <w:t xml:space="preserve">) in the reinsurance portfolio </w:t>
      </w:r>
      <w:r w:rsidR="00C36920">
        <w:rPr>
          <w:color w:val="000000"/>
          <w:sz w:val="22"/>
          <w:szCs w:val="22"/>
          <w:lang w:val="en-US"/>
        </w:rPr>
        <w:t xml:space="preserve">of </w:t>
      </w:r>
      <w:proofErr w:type="spellStart"/>
      <w:r w:rsidR="00C36920" w:rsidRPr="00C36920">
        <w:rPr>
          <w:color w:val="000000"/>
          <w:sz w:val="22"/>
          <w:szCs w:val="22"/>
          <w:lang w:val="en-US"/>
        </w:rPr>
        <w:t>KazExportGarant</w:t>
      </w:r>
      <w:proofErr w:type="spellEnd"/>
      <w:r w:rsidR="00C36920" w:rsidRPr="00C36920">
        <w:rPr>
          <w:color w:val="000000"/>
          <w:sz w:val="22"/>
          <w:szCs w:val="22"/>
          <w:lang w:val="en-US"/>
        </w:rPr>
        <w:t xml:space="preserve"> with 7.80% (1st half of 2011)</w:t>
      </w:r>
      <w:r w:rsidR="00C36920">
        <w:rPr>
          <w:color w:val="000000"/>
          <w:sz w:val="22"/>
          <w:szCs w:val="22"/>
          <w:lang w:val="en-US"/>
        </w:rPr>
        <w:t xml:space="preserve"> up</w:t>
      </w:r>
      <w:r w:rsidR="00C36920" w:rsidRPr="00C36920">
        <w:rPr>
          <w:color w:val="000000"/>
          <w:sz w:val="22"/>
          <w:szCs w:val="22"/>
          <w:lang w:val="en-US"/>
        </w:rPr>
        <w:t xml:space="preserve"> to 28.78% (</w:t>
      </w:r>
      <w:r w:rsidR="00C36920">
        <w:rPr>
          <w:color w:val="000000"/>
          <w:sz w:val="22"/>
          <w:szCs w:val="22"/>
          <w:lang w:val="en-US"/>
        </w:rPr>
        <w:t>1H 2012</w:t>
      </w:r>
      <w:r w:rsidR="00C36920" w:rsidRPr="00C36920">
        <w:rPr>
          <w:color w:val="000000"/>
          <w:sz w:val="22"/>
          <w:szCs w:val="22"/>
          <w:lang w:val="en-US"/>
        </w:rPr>
        <w:t>).</w:t>
      </w:r>
    </w:p>
    <w:p w:rsidR="00C36920" w:rsidRPr="00C36920" w:rsidRDefault="00C36920" w:rsidP="00C36920">
      <w:pPr>
        <w:widowControl w:val="0"/>
        <w:tabs>
          <w:tab w:val="left" w:pos="-900"/>
          <w:tab w:val="left" w:pos="142"/>
          <w:tab w:val="left" w:pos="426"/>
        </w:tabs>
        <w:ind w:left="-567" w:firstLine="567"/>
        <w:jc w:val="both"/>
        <w:rPr>
          <w:color w:val="000000"/>
          <w:sz w:val="22"/>
          <w:szCs w:val="22"/>
          <w:lang w:val="en-US"/>
        </w:rPr>
      </w:pPr>
      <w:r w:rsidRPr="00C36920">
        <w:rPr>
          <w:color w:val="000000"/>
          <w:sz w:val="22"/>
          <w:szCs w:val="22"/>
          <w:lang w:val="en-US"/>
        </w:rPr>
        <w:t xml:space="preserve">In the reporting period </w:t>
      </w:r>
      <w:r>
        <w:rPr>
          <w:color w:val="000000"/>
          <w:sz w:val="22"/>
          <w:szCs w:val="22"/>
          <w:lang w:val="en-US"/>
        </w:rPr>
        <w:t xml:space="preserve">the </w:t>
      </w:r>
      <w:r w:rsidRPr="00C36920">
        <w:rPr>
          <w:color w:val="000000"/>
          <w:sz w:val="22"/>
          <w:szCs w:val="22"/>
          <w:lang w:val="en-US"/>
        </w:rPr>
        <w:t xml:space="preserve">following </w:t>
      </w:r>
      <w:r w:rsidRPr="00C36920">
        <w:rPr>
          <w:b/>
          <w:color w:val="000000"/>
          <w:sz w:val="22"/>
          <w:szCs w:val="22"/>
          <w:lang w:val="en-US"/>
        </w:rPr>
        <w:t>significant events</w:t>
      </w:r>
      <w:r w:rsidRPr="00C36920">
        <w:rPr>
          <w:color w:val="000000"/>
          <w:sz w:val="22"/>
          <w:szCs w:val="22"/>
          <w:lang w:val="en-US"/>
        </w:rPr>
        <w:t xml:space="preserve"> </w:t>
      </w:r>
      <w:r>
        <w:rPr>
          <w:color w:val="000000"/>
          <w:sz w:val="22"/>
          <w:szCs w:val="22"/>
          <w:lang w:val="en-US"/>
        </w:rPr>
        <w:t xml:space="preserve">have </w:t>
      </w:r>
      <w:r w:rsidRPr="00C36920">
        <w:rPr>
          <w:color w:val="000000"/>
          <w:sz w:val="22"/>
          <w:szCs w:val="22"/>
          <w:lang w:val="en-US"/>
        </w:rPr>
        <w:t xml:space="preserve">occurred </w:t>
      </w:r>
      <w:r>
        <w:rPr>
          <w:color w:val="000000"/>
          <w:sz w:val="22"/>
          <w:szCs w:val="22"/>
          <w:lang w:val="en-US"/>
        </w:rPr>
        <w:t xml:space="preserve">in </w:t>
      </w:r>
      <w:proofErr w:type="spellStart"/>
      <w:r w:rsidRPr="00C36920">
        <w:rPr>
          <w:color w:val="000000"/>
          <w:sz w:val="22"/>
          <w:szCs w:val="22"/>
          <w:lang w:val="en-US"/>
        </w:rPr>
        <w:t>KazExportGarant</w:t>
      </w:r>
      <w:proofErr w:type="spellEnd"/>
      <w:r w:rsidRPr="00C36920">
        <w:rPr>
          <w:color w:val="000000"/>
          <w:sz w:val="22"/>
          <w:szCs w:val="22"/>
          <w:lang w:val="en-US"/>
        </w:rPr>
        <w:t>:</w:t>
      </w:r>
    </w:p>
    <w:p w:rsidR="00C36920" w:rsidRPr="00C36920" w:rsidRDefault="00C36920" w:rsidP="00C36920">
      <w:pPr>
        <w:widowControl w:val="0"/>
        <w:tabs>
          <w:tab w:val="left" w:pos="-900"/>
          <w:tab w:val="left" w:pos="142"/>
          <w:tab w:val="left" w:pos="426"/>
        </w:tabs>
        <w:ind w:left="-567" w:firstLine="567"/>
        <w:jc w:val="both"/>
        <w:rPr>
          <w:color w:val="000000"/>
          <w:sz w:val="22"/>
          <w:szCs w:val="22"/>
          <w:lang w:val="en-US"/>
        </w:rPr>
      </w:pPr>
      <w:r w:rsidRPr="00C36920">
        <w:rPr>
          <w:color w:val="000000"/>
          <w:sz w:val="22"/>
          <w:szCs w:val="22"/>
          <w:lang w:val="en-US"/>
        </w:rPr>
        <w:t xml:space="preserve">1) </w:t>
      </w:r>
      <w:proofErr w:type="gramStart"/>
      <w:r w:rsidRPr="00C36920">
        <w:rPr>
          <w:color w:val="000000"/>
          <w:sz w:val="22"/>
          <w:szCs w:val="22"/>
          <w:lang w:val="en-US"/>
        </w:rPr>
        <w:t>the</w:t>
      </w:r>
      <w:proofErr w:type="gramEnd"/>
      <w:r w:rsidRPr="00C36920">
        <w:rPr>
          <w:color w:val="000000"/>
          <w:sz w:val="22"/>
          <w:szCs w:val="22"/>
          <w:lang w:val="en-US"/>
        </w:rPr>
        <w:t xml:space="preserve"> first deal for the supply of locomotives of domestic production in the Republic of Tajikistan </w:t>
      </w:r>
      <w:r>
        <w:rPr>
          <w:color w:val="000000"/>
          <w:sz w:val="22"/>
          <w:szCs w:val="22"/>
          <w:lang w:val="en-US"/>
        </w:rPr>
        <w:t xml:space="preserve">was </w:t>
      </w:r>
      <w:r w:rsidRPr="00C36920">
        <w:rPr>
          <w:color w:val="000000"/>
          <w:sz w:val="22"/>
          <w:szCs w:val="22"/>
          <w:lang w:val="en-US"/>
        </w:rPr>
        <w:t>implemented;</w:t>
      </w:r>
    </w:p>
    <w:p w:rsidR="00C36920" w:rsidRPr="00C36920" w:rsidRDefault="00C36920" w:rsidP="00C36920">
      <w:pPr>
        <w:widowControl w:val="0"/>
        <w:tabs>
          <w:tab w:val="left" w:pos="-900"/>
          <w:tab w:val="left" w:pos="142"/>
          <w:tab w:val="left" w:pos="426"/>
        </w:tabs>
        <w:ind w:left="-567" w:firstLine="567"/>
        <w:jc w:val="both"/>
        <w:rPr>
          <w:color w:val="000000"/>
          <w:sz w:val="22"/>
          <w:szCs w:val="22"/>
          <w:lang w:val="en-US"/>
        </w:rPr>
      </w:pPr>
      <w:r w:rsidRPr="00C36920">
        <w:rPr>
          <w:color w:val="000000"/>
          <w:sz w:val="22"/>
          <w:szCs w:val="22"/>
          <w:lang w:val="en-US"/>
        </w:rPr>
        <w:t xml:space="preserve">2) Spring Session </w:t>
      </w:r>
      <w:r>
        <w:rPr>
          <w:color w:val="000000"/>
          <w:sz w:val="22"/>
          <w:szCs w:val="22"/>
          <w:lang w:val="en-US"/>
        </w:rPr>
        <w:t xml:space="preserve">of the </w:t>
      </w:r>
      <w:r w:rsidRPr="00C36920">
        <w:rPr>
          <w:color w:val="000000"/>
          <w:sz w:val="22"/>
          <w:szCs w:val="22"/>
          <w:lang w:val="en-US"/>
        </w:rPr>
        <w:t>Prague Club (at Berne Uni</w:t>
      </w:r>
      <w:r>
        <w:rPr>
          <w:color w:val="000000"/>
          <w:sz w:val="22"/>
          <w:szCs w:val="22"/>
          <w:lang w:val="en-US"/>
        </w:rPr>
        <w:t>on) of</w:t>
      </w:r>
      <w:r w:rsidRPr="00C36920">
        <w:rPr>
          <w:color w:val="000000"/>
          <w:sz w:val="22"/>
          <w:szCs w:val="22"/>
          <w:lang w:val="en-US"/>
        </w:rPr>
        <w:t xml:space="preserve"> the International Association of Credit and Investment Insurers</w:t>
      </w:r>
      <w:r>
        <w:rPr>
          <w:color w:val="000000"/>
          <w:sz w:val="22"/>
          <w:szCs w:val="22"/>
          <w:lang w:val="en-US"/>
        </w:rPr>
        <w:t xml:space="preserve"> was held</w:t>
      </w:r>
      <w:r w:rsidRPr="00C36920">
        <w:rPr>
          <w:color w:val="000000"/>
          <w:sz w:val="22"/>
          <w:szCs w:val="22"/>
          <w:lang w:val="en-US"/>
        </w:rPr>
        <w:t>.</w:t>
      </w:r>
    </w:p>
    <w:p w:rsidR="00C36920" w:rsidRDefault="00C36920" w:rsidP="00C36920">
      <w:pPr>
        <w:widowControl w:val="0"/>
        <w:tabs>
          <w:tab w:val="left" w:pos="-900"/>
          <w:tab w:val="left" w:pos="142"/>
          <w:tab w:val="left" w:pos="426"/>
        </w:tabs>
        <w:ind w:left="-567" w:firstLine="567"/>
        <w:jc w:val="both"/>
        <w:rPr>
          <w:color w:val="000000"/>
          <w:sz w:val="22"/>
          <w:szCs w:val="22"/>
          <w:lang w:val="en-US"/>
        </w:rPr>
      </w:pPr>
      <w:r w:rsidRPr="00C36920">
        <w:rPr>
          <w:color w:val="000000"/>
          <w:sz w:val="22"/>
          <w:szCs w:val="22"/>
          <w:lang w:val="en-US"/>
        </w:rPr>
        <w:t xml:space="preserve">3) </w:t>
      </w:r>
      <w:proofErr w:type="gramStart"/>
      <w:r w:rsidRPr="00C36920">
        <w:rPr>
          <w:color w:val="000000"/>
          <w:sz w:val="22"/>
          <w:szCs w:val="22"/>
          <w:lang w:val="en-US"/>
        </w:rPr>
        <w:t>major</w:t>
      </w:r>
      <w:proofErr w:type="gramEnd"/>
      <w:r w:rsidRPr="00C36920">
        <w:rPr>
          <w:color w:val="000000"/>
          <w:sz w:val="22"/>
          <w:szCs w:val="22"/>
          <w:lang w:val="en-US"/>
        </w:rPr>
        <w:t xml:space="preserve"> projects for insurance on Turkmen direction</w:t>
      </w:r>
      <w:r>
        <w:rPr>
          <w:color w:val="000000"/>
          <w:sz w:val="22"/>
          <w:szCs w:val="22"/>
          <w:lang w:val="en-US"/>
        </w:rPr>
        <w:t xml:space="preserve"> were supported</w:t>
      </w:r>
      <w:r w:rsidRPr="00C36920">
        <w:rPr>
          <w:color w:val="000000"/>
          <w:sz w:val="22"/>
          <w:szCs w:val="22"/>
          <w:lang w:val="en-US"/>
        </w:rPr>
        <w:t xml:space="preserve">: political </w:t>
      </w:r>
      <w:r>
        <w:rPr>
          <w:color w:val="000000"/>
          <w:sz w:val="22"/>
          <w:szCs w:val="22"/>
          <w:lang w:val="en-US"/>
        </w:rPr>
        <w:t>risk insurance for the project “</w:t>
      </w:r>
      <w:r w:rsidRPr="00C36920">
        <w:rPr>
          <w:color w:val="000000"/>
          <w:sz w:val="22"/>
          <w:szCs w:val="22"/>
          <w:lang w:val="en-US"/>
        </w:rPr>
        <w:t>Rehabilitation o</w:t>
      </w:r>
      <w:r>
        <w:rPr>
          <w:color w:val="000000"/>
          <w:sz w:val="22"/>
          <w:szCs w:val="22"/>
          <w:lang w:val="en-US"/>
        </w:rPr>
        <w:t>f the Ashgabat-</w:t>
      </w:r>
      <w:r w:rsidRPr="00C36920">
        <w:rPr>
          <w:color w:val="000000"/>
          <w:sz w:val="22"/>
          <w:szCs w:val="22"/>
          <w:lang w:val="en-US"/>
        </w:rPr>
        <w:t xml:space="preserve"> </w:t>
      </w:r>
      <w:proofErr w:type="spellStart"/>
      <w:r>
        <w:rPr>
          <w:color w:val="000000"/>
          <w:sz w:val="22"/>
          <w:szCs w:val="22"/>
          <w:lang w:val="en-US"/>
        </w:rPr>
        <w:t>Garagum-Dashoguz</w:t>
      </w:r>
      <w:proofErr w:type="spellEnd"/>
      <w:r>
        <w:rPr>
          <w:color w:val="000000"/>
          <w:sz w:val="22"/>
          <w:szCs w:val="22"/>
          <w:lang w:val="en-US"/>
        </w:rPr>
        <w:t xml:space="preserve"> road”</w:t>
      </w:r>
      <w:r w:rsidRPr="00C36920">
        <w:rPr>
          <w:color w:val="000000"/>
          <w:sz w:val="22"/>
          <w:szCs w:val="22"/>
          <w:lang w:val="en-US"/>
        </w:rPr>
        <w:t xml:space="preserve"> </w:t>
      </w:r>
      <w:r>
        <w:rPr>
          <w:color w:val="000000"/>
          <w:sz w:val="22"/>
          <w:szCs w:val="22"/>
          <w:lang w:val="en-US"/>
        </w:rPr>
        <w:t>in the amount of KZT</w:t>
      </w:r>
      <w:r w:rsidRPr="00C36920">
        <w:rPr>
          <w:color w:val="000000"/>
          <w:sz w:val="22"/>
          <w:szCs w:val="22"/>
          <w:lang w:val="en-US"/>
        </w:rPr>
        <w:t xml:space="preserve"> 2.3 </w:t>
      </w:r>
      <w:r w:rsidR="000A43AE">
        <w:rPr>
          <w:color w:val="000000"/>
          <w:sz w:val="22"/>
          <w:szCs w:val="22"/>
          <w:lang w:val="en-US"/>
        </w:rPr>
        <w:t>billion</w:t>
      </w:r>
      <w:r>
        <w:rPr>
          <w:color w:val="000000"/>
          <w:sz w:val="22"/>
          <w:szCs w:val="22"/>
          <w:lang w:val="en-US"/>
        </w:rPr>
        <w:t>.</w:t>
      </w:r>
    </w:p>
    <w:p w:rsidR="002664E4" w:rsidRDefault="002664E4" w:rsidP="002664E4">
      <w:pPr>
        <w:tabs>
          <w:tab w:val="left" w:pos="426"/>
          <w:tab w:val="left" w:pos="993"/>
        </w:tabs>
        <w:autoSpaceDE w:val="0"/>
        <w:autoSpaceDN w:val="0"/>
        <w:adjustRightInd w:val="0"/>
        <w:ind w:left="-567" w:firstLine="567"/>
        <w:jc w:val="both"/>
        <w:rPr>
          <w:sz w:val="22"/>
          <w:szCs w:val="22"/>
          <w:lang w:val="en-US"/>
        </w:rPr>
      </w:pPr>
      <w:r>
        <w:rPr>
          <w:sz w:val="22"/>
          <w:szCs w:val="22"/>
          <w:lang w:val="en-US"/>
        </w:rPr>
        <w:t>As part</w:t>
      </w:r>
      <w:r w:rsidRPr="00F11A34">
        <w:rPr>
          <w:sz w:val="22"/>
          <w:szCs w:val="22"/>
          <w:lang w:val="en-US"/>
        </w:rPr>
        <w:t xml:space="preserve"> of the Joint Action Plan of the Government, the National Bank, the Agency for Regulation and Supervision of Financial Market and Financial Organizations of the RK to stabilize the economy and financial system for 2009-2010, approved by </w:t>
      </w:r>
      <w:r w:rsidR="00886D27" w:rsidRPr="00F11A34">
        <w:rPr>
          <w:sz w:val="22"/>
          <w:szCs w:val="22"/>
          <w:lang w:val="en-US"/>
        </w:rPr>
        <w:t xml:space="preserve">the </w:t>
      </w:r>
      <w:r w:rsidR="00886D27">
        <w:rPr>
          <w:sz w:val="22"/>
          <w:szCs w:val="22"/>
          <w:lang w:val="en-US"/>
        </w:rPr>
        <w:t>Government</w:t>
      </w:r>
      <w:r w:rsidRPr="00F11A34">
        <w:rPr>
          <w:sz w:val="22"/>
          <w:szCs w:val="22"/>
          <w:lang w:val="en-US"/>
        </w:rPr>
        <w:t xml:space="preserve"> </w:t>
      </w:r>
      <w:r>
        <w:rPr>
          <w:sz w:val="22"/>
          <w:szCs w:val="22"/>
          <w:lang w:val="en-US"/>
        </w:rPr>
        <w:t xml:space="preserve">of the Republic of Kazakhstan, the </w:t>
      </w:r>
      <w:r w:rsidRPr="00F11A34">
        <w:rPr>
          <w:sz w:val="22"/>
          <w:szCs w:val="22"/>
          <w:lang w:val="en-US"/>
        </w:rPr>
        <w:t xml:space="preserve">Fund in 2009 </w:t>
      </w:r>
      <w:r>
        <w:rPr>
          <w:sz w:val="22"/>
          <w:szCs w:val="22"/>
          <w:lang w:val="en-US"/>
        </w:rPr>
        <w:t xml:space="preserve">acquired </w:t>
      </w:r>
      <w:r w:rsidRPr="00F11A34">
        <w:rPr>
          <w:sz w:val="22"/>
          <w:szCs w:val="22"/>
          <w:lang w:val="en-US"/>
        </w:rPr>
        <w:t xml:space="preserve">controlling stakes in </w:t>
      </w:r>
      <w:r w:rsidRPr="00F11A34">
        <w:rPr>
          <w:b/>
          <w:sz w:val="22"/>
          <w:szCs w:val="22"/>
          <w:lang w:val="en-US"/>
        </w:rPr>
        <w:t xml:space="preserve">BTA, Alliance Bank and the significant </w:t>
      </w:r>
      <w:r>
        <w:rPr>
          <w:b/>
          <w:sz w:val="22"/>
          <w:szCs w:val="22"/>
          <w:lang w:val="en-US"/>
        </w:rPr>
        <w:t>shares</w:t>
      </w:r>
      <w:r w:rsidRPr="00F11A34">
        <w:rPr>
          <w:b/>
          <w:sz w:val="22"/>
          <w:szCs w:val="22"/>
          <w:lang w:val="en-US"/>
        </w:rPr>
        <w:t xml:space="preserve"> </w:t>
      </w:r>
      <w:r>
        <w:rPr>
          <w:b/>
          <w:sz w:val="22"/>
          <w:szCs w:val="22"/>
          <w:lang w:val="en-US"/>
        </w:rPr>
        <w:t>in</w:t>
      </w:r>
      <w:r w:rsidRPr="00F11A34">
        <w:rPr>
          <w:b/>
          <w:sz w:val="22"/>
          <w:szCs w:val="22"/>
          <w:lang w:val="en-US"/>
        </w:rPr>
        <w:t xml:space="preserve"> </w:t>
      </w:r>
      <w:r w:rsidR="00886D27">
        <w:rPr>
          <w:b/>
          <w:sz w:val="22"/>
          <w:szCs w:val="22"/>
          <w:lang w:val="en-US"/>
        </w:rPr>
        <w:t>H</w:t>
      </w:r>
      <w:r>
        <w:rPr>
          <w:b/>
          <w:sz w:val="22"/>
          <w:szCs w:val="22"/>
          <w:lang w:val="en-US"/>
        </w:rPr>
        <w:t>B and KKB</w:t>
      </w:r>
      <w:r w:rsidRPr="00F11A34">
        <w:rPr>
          <w:sz w:val="22"/>
          <w:szCs w:val="22"/>
          <w:lang w:val="en-US"/>
        </w:rPr>
        <w:t>. These measures were aimed at providing additional liquidity to banks and to ensure their solvency.</w:t>
      </w:r>
    </w:p>
    <w:p w:rsidR="00B84F8F" w:rsidRPr="00B84F8F" w:rsidRDefault="00B84F8F" w:rsidP="00B84F8F">
      <w:pPr>
        <w:tabs>
          <w:tab w:val="left" w:pos="426"/>
          <w:tab w:val="left" w:pos="993"/>
        </w:tabs>
        <w:autoSpaceDE w:val="0"/>
        <w:autoSpaceDN w:val="0"/>
        <w:adjustRightInd w:val="0"/>
        <w:ind w:left="-567" w:firstLine="567"/>
        <w:jc w:val="both"/>
        <w:rPr>
          <w:sz w:val="22"/>
          <w:szCs w:val="22"/>
          <w:lang w:val="en-US"/>
        </w:rPr>
      </w:pPr>
      <w:r>
        <w:rPr>
          <w:sz w:val="22"/>
          <w:szCs w:val="22"/>
          <w:lang w:val="en-US"/>
        </w:rPr>
        <w:t>We n</w:t>
      </w:r>
      <w:r w:rsidRPr="00B84F8F">
        <w:rPr>
          <w:sz w:val="22"/>
          <w:szCs w:val="22"/>
          <w:lang w:val="en-US"/>
        </w:rPr>
        <w:t xml:space="preserve">ote the following </w:t>
      </w:r>
      <w:r w:rsidRPr="00B84F8F">
        <w:rPr>
          <w:b/>
          <w:sz w:val="22"/>
          <w:szCs w:val="22"/>
          <w:lang w:val="en-US"/>
        </w:rPr>
        <w:t>significant events</w:t>
      </w:r>
      <w:r w:rsidRPr="00B84F8F">
        <w:rPr>
          <w:sz w:val="22"/>
          <w:szCs w:val="22"/>
          <w:lang w:val="en-US"/>
        </w:rPr>
        <w:t xml:space="preserve"> in </w:t>
      </w:r>
      <w:r>
        <w:rPr>
          <w:sz w:val="22"/>
          <w:szCs w:val="22"/>
          <w:lang w:val="en-US"/>
        </w:rPr>
        <w:t>STB</w:t>
      </w:r>
      <w:r w:rsidRPr="00B84F8F">
        <w:rPr>
          <w:sz w:val="22"/>
          <w:szCs w:val="22"/>
          <w:lang w:val="en-US"/>
        </w:rPr>
        <w:t>:</w:t>
      </w:r>
    </w:p>
    <w:p w:rsidR="00B84F8F" w:rsidRPr="00B84F8F" w:rsidRDefault="00B84F8F" w:rsidP="00B84F8F">
      <w:pPr>
        <w:tabs>
          <w:tab w:val="left" w:pos="426"/>
          <w:tab w:val="left" w:pos="993"/>
        </w:tabs>
        <w:autoSpaceDE w:val="0"/>
        <w:autoSpaceDN w:val="0"/>
        <w:adjustRightInd w:val="0"/>
        <w:ind w:left="-567" w:firstLine="567"/>
        <w:jc w:val="both"/>
        <w:rPr>
          <w:sz w:val="22"/>
          <w:szCs w:val="22"/>
          <w:lang w:val="en-US"/>
        </w:rPr>
      </w:pPr>
      <w:r>
        <w:rPr>
          <w:sz w:val="22"/>
          <w:szCs w:val="22"/>
          <w:lang w:val="en-US"/>
        </w:rPr>
        <w:t>1) JSC “Holding Group “</w:t>
      </w:r>
      <w:r w:rsidRPr="00B84F8F">
        <w:rPr>
          <w:sz w:val="22"/>
          <w:szCs w:val="22"/>
          <w:lang w:val="en-US"/>
        </w:rPr>
        <w:t>A</w:t>
      </w:r>
      <w:r>
        <w:rPr>
          <w:sz w:val="22"/>
          <w:szCs w:val="22"/>
          <w:lang w:val="en-US"/>
        </w:rPr>
        <w:t>LMEX” and JSC</w:t>
      </w:r>
      <w:r w:rsidRPr="00B84F8F">
        <w:rPr>
          <w:sz w:val="22"/>
          <w:szCs w:val="22"/>
          <w:lang w:val="en-US"/>
        </w:rPr>
        <w:t xml:space="preserve"> </w:t>
      </w:r>
      <w:r>
        <w:rPr>
          <w:sz w:val="22"/>
          <w:szCs w:val="22"/>
          <w:lang w:val="en-US"/>
        </w:rPr>
        <w:t>“</w:t>
      </w:r>
      <w:r w:rsidRPr="00B84F8F">
        <w:rPr>
          <w:sz w:val="22"/>
          <w:szCs w:val="22"/>
          <w:lang w:val="en-US"/>
        </w:rPr>
        <w:t>Halyk Bank</w:t>
      </w:r>
      <w:r>
        <w:rPr>
          <w:sz w:val="22"/>
          <w:szCs w:val="22"/>
          <w:lang w:val="en-US"/>
        </w:rPr>
        <w:t xml:space="preserve"> of Kazakhstan” </w:t>
      </w:r>
      <w:r w:rsidRPr="00B84F8F">
        <w:rPr>
          <w:sz w:val="22"/>
          <w:szCs w:val="22"/>
          <w:lang w:val="en-US"/>
        </w:rPr>
        <w:t>signed an agreement on the assignment of rights under the option agreement in res</w:t>
      </w:r>
      <w:r>
        <w:rPr>
          <w:sz w:val="22"/>
          <w:szCs w:val="22"/>
          <w:lang w:val="en-US"/>
        </w:rPr>
        <w:t>pect of preferred shares of JSC</w:t>
      </w:r>
      <w:r w:rsidRPr="00B84F8F">
        <w:rPr>
          <w:sz w:val="22"/>
          <w:szCs w:val="22"/>
          <w:lang w:val="en-US"/>
        </w:rPr>
        <w:t xml:space="preserve"> </w:t>
      </w:r>
      <w:r>
        <w:rPr>
          <w:sz w:val="22"/>
          <w:szCs w:val="22"/>
          <w:lang w:val="en-US"/>
        </w:rPr>
        <w:t>“</w:t>
      </w:r>
      <w:r w:rsidRPr="00B84F8F">
        <w:rPr>
          <w:sz w:val="22"/>
          <w:szCs w:val="22"/>
          <w:lang w:val="en-US"/>
        </w:rPr>
        <w:t>Halyk Bank of Kazakhstan</w:t>
      </w:r>
      <w:r>
        <w:rPr>
          <w:sz w:val="22"/>
          <w:szCs w:val="22"/>
          <w:lang w:val="en-US"/>
        </w:rPr>
        <w:t xml:space="preserve">”. </w:t>
      </w:r>
      <w:r w:rsidRPr="00B84F8F">
        <w:rPr>
          <w:sz w:val="22"/>
          <w:szCs w:val="22"/>
          <w:lang w:val="en-US"/>
        </w:rPr>
        <w:t xml:space="preserve">In accordance with this agreement, </w:t>
      </w:r>
      <w:r>
        <w:rPr>
          <w:sz w:val="22"/>
          <w:szCs w:val="22"/>
          <w:lang w:val="en-US"/>
        </w:rPr>
        <w:t>on June 29, 2012 JSC “</w:t>
      </w:r>
      <w:r w:rsidRPr="00B84F8F">
        <w:rPr>
          <w:sz w:val="22"/>
          <w:szCs w:val="22"/>
          <w:lang w:val="en-US"/>
        </w:rPr>
        <w:t>Halyk Bank</w:t>
      </w:r>
      <w:r>
        <w:rPr>
          <w:sz w:val="22"/>
          <w:szCs w:val="22"/>
          <w:lang w:val="en-US"/>
        </w:rPr>
        <w:t>”</w:t>
      </w:r>
      <w:r w:rsidRPr="00B84F8F">
        <w:rPr>
          <w:sz w:val="22"/>
          <w:szCs w:val="22"/>
          <w:lang w:val="en-US"/>
        </w:rPr>
        <w:t xml:space="preserve"> partially exercised its right to execute the option and implemented the redemption of 150</w:t>
      </w:r>
      <w:r>
        <w:rPr>
          <w:sz w:val="22"/>
          <w:szCs w:val="22"/>
          <w:lang w:val="en-US"/>
        </w:rPr>
        <w:t> </w:t>
      </w:r>
      <w:r w:rsidRPr="00B84F8F">
        <w:rPr>
          <w:sz w:val="22"/>
          <w:szCs w:val="22"/>
          <w:lang w:val="en-US"/>
        </w:rPr>
        <w:t>000</w:t>
      </w:r>
      <w:r>
        <w:rPr>
          <w:sz w:val="22"/>
          <w:szCs w:val="22"/>
          <w:lang w:val="en-US"/>
        </w:rPr>
        <w:t xml:space="preserve"> </w:t>
      </w:r>
      <w:r w:rsidRPr="00B84F8F">
        <w:rPr>
          <w:sz w:val="22"/>
          <w:szCs w:val="22"/>
          <w:lang w:val="en-US"/>
        </w:rPr>
        <w:t xml:space="preserve">000 preferred shares. After the </w:t>
      </w:r>
      <w:r>
        <w:rPr>
          <w:sz w:val="22"/>
          <w:szCs w:val="22"/>
          <w:lang w:val="en-US"/>
        </w:rPr>
        <w:t>realization</w:t>
      </w:r>
      <w:r w:rsidRPr="00B84F8F">
        <w:rPr>
          <w:sz w:val="22"/>
          <w:szCs w:val="22"/>
          <w:lang w:val="en-US"/>
        </w:rPr>
        <w:t xml:space="preserve"> of the preferred shares of JSC </w:t>
      </w:r>
      <w:r>
        <w:rPr>
          <w:sz w:val="22"/>
          <w:szCs w:val="22"/>
          <w:lang w:val="en-US"/>
        </w:rPr>
        <w:t>“</w:t>
      </w:r>
      <w:r w:rsidRPr="00B84F8F">
        <w:rPr>
          <w:sz w:val="22"/>
          <w:szCs w:val="22"/>
          <w:lang w:val="en-US"/>
        </w:rPr>
        <w:t>Halyk Bank of Kazakhstan</w:t>
      </w:r>
      <w:r>
        <w:rPr>
          <w:sz w:val="22"/>
          <w:szCs w:val="22"/>
          <w:lang w:val="en-US"/>
        </w:rPr>
        <w:t>”</w:t>
      </w:r>
      <w:r w:rsidRPr="00B84F8F">
        <w:rPr>
          <w:sz w:val="22"/>
          <w:szCs w:val="22"/>
          <w:lang w:val="en-US"/>
        </w:rPr>
        <w:t xml:space="preserve"> </w:t>
      </w:r>
      <w:r>
        <w:rPr>
          <w:sz w:val="22"/>
          <w:szCs w:val="22"/>
          <w:lang w:val="en-US"/>
        </w:rPr>
        <w:t>with</w:t>
      </w:r>
      <w:r w:rsidRPr="00B84F8F">
        <w:rPr>
          <w:sz w:val="22"/>
          <w:szCs w:val="22"/>
          <w:lang w:val="en-US"/>
        </w:rPr>
        <w:t xml:space="preserve"> the fair</w:t>
      </w:r>
      <w:r>
        <w:rPr>
          <w:sz w:val="22"/>
          <w:szCs w:val="22"/>
          <w:lang w:val="en-US"/>
        </w:rPr>
        <w:t xml:space="preserve"> value at the date of disposal, </w:t>
      </w:r>
      <w:r w:rsidRPr="00B84F8F">
        <w:rPr>
          <w:sz w:val="22"/>
          <w:szCs w:val="22"/>
          <w:lang w:val="en-US"/>
        </w:rPr>
        <w:t>the Fund discontinued recogniti</w:t>
      </w:r>
      <w:r>
        <w:rPr>
          <w:sz w:val="22"/>
          <w:szCs w:val="22"/>
          <w:lang w:val="en-US"/>
        </w:rPr>
        <w:t>on of the relevant obligation on</w:t>
      </w:r>
      <w:r w:rsidRPr="00B84F8F">
        <w:rPr>
          <w:sz w:val="22"/>
          <w:szCs w:val="22"/>
          <w:lang w:val="en-US"/>
        </w:rPr>
        <w:t xml:space="preserve"> the option </w:t>
      </w:r>
      <w:r>
        <w:rPr>
          <w:sz w:val="22"/>
          <w:szCs w:val="22"/>
          <w:lang w:val="en-US"/>
        </w:rPr>
        <w:t xml:space="preserve">for the </w:t>
      </w:r>
      <w:r w:rsidRPr="00B84F8F">
        <w:rPr>
          <w:sz w:val="22"/>
          <w:szCs w:val="22"/>
          <w:lang w:val="en-US"/>
        </w:rPr>
        <w:t xml:space="preserve">purchase </w:t>
      </w:r>
      <w:r>
        <w:rPr>
          <w:sz w:val="22"/>
          <w:szCs w:val="22"/>
          <w:lang w:val="en-US"/>
        </w:rPr>
        <w:t xml:space="preserve">of </w:t>
      </w:r>
      <w:r w:rsidRPr="00B84F8F">
        <w:rPr>
          <w:sz w:val="22"/>
          <w:szCs w:val="22"/>
          <w:lang w:val="en-US"/>
        </w:rPr>
        <w:t>the preferred shares;</w:t>
      </w:r>
    </w:p>
    <w:p w:rsidR="00B84F8F" w:rsidRDefault="00B84F8F" w:rsidP="00B84F8F">
      <w:pPr>
        <w:tabs>
          <w:tab w:val="left" w:pos="426"/>
          <w:tab w:val="left" w:pos="993"/>
        </w:tabs>
        <w:autoSpaceDE w:val="0"/>
        <w:autoSpaceDN w:val="0"/>
        <w:adjustRightInd w:val="0"/>
        <w:ind w:left="-567" w:firstLine="567"/>
        <w:jc w:val="both"/>
        <w:rPr>
          <w:sz w:val="22"/>
          <w:szCs w:val="22"/>
          <w:lang w:val="en-US"/>
        </w:rPr>
      </w:pPr>
      <w:r w:rsidRPr="00B84F8F">
        <w:rPr>
          <w:sz w:val="22"/>
          <w:szCs w:val="22"/>
          <w:lang w:val="en-US"/>
        </w:rPr>
        <w:t xml:space="preserve">2) BTA Bank </w:t>
      </w:r>
      <w:r>
        <w:rPr>
          <w:sz w:val="22"/>
          <w:szCs w:val="22"/>
          <w:lang w:val="en-US"/>
        </w:rPr>
        <w:t>carries on</w:t>
      </w:r>
      <w:r w:rsidRPr="00B84F8F">
        <w:rPr>
          <w:sz w:val="22"/>
          <w:szCs w:val="22"/>
          <w:lang w:val="en-US"/>
        </w:rPr>
        <w:t xml:space="preserve"> legal disputes in the Kyrgyz Republic, the Republic of Georgia and Turkey.</w:t>
      </w:r>
    </w:p>
    <w:p w:rsidR="00B84F8F" w:rsidRDefault="00B84F8F" w:rsidP="00B84F8F">
      <w:pPr>
        <w:tabs>
          <w:tab w:val="left" w:pos="426"/>
          <w:tab w:val="left" w:pos="993"/>
        </w:tabs>
        <w:autoSpaceDE w:val="0"/>
        <w:autoSpaceDN w:val="0"/>
        <w:adjustRightInd w:val="0"/>
        <w:ind w:left="-567" w:firstLine="567"/>
        <w:jc w:val="both"/>
        <w:rPr>
          <w:sz w:val="22"/>
          <w:szCs w:val="22"/>
          <w:lang w:val="en-US"/>
        </w:rPr>
      </w:pPr>
    </w:p>
    <w:p w:rsidR="002664E4" w:rsidRDefault="002664E4" w:rsidP="002664E4">
      <w:pPr>
        <w:tabs>
          <w:tab w:val="left" w:pos="426"/>
          <w:tab w:val="left" w:pos="993"/>
        </w:tabs>
        <w:autoSpaceDE w:val="0"/>
        <w:autoSpaceDN w:val="0"/>
        <w:adjustRightInd w:val="0"/>
        <w:ind w:left="-567" w:firstLine="567"/>
        <w:jc w:val="both"/>
        <w:rPr>
          <w:sz w:val="22"/>
          <w:szCs w:val="22"/>
          <w:lang w:val="en-US"/>
        </w:rPr>
      </w:pPr>
      <w:r w:rsidRPr="00787BDD">
        <w:rPr>
          <w:b/>
          <w:sz w:val="22"/>
          <w:szCs w:val="22"/>
          <w:lang w:val="en-US"/>
        </w:rPr>
        <w:t>“</w:t>
      </w:r>
      <w:r>
        <w:rPr>
          <w:b/>
          <w:sz w:val="22"/>
          <w:szCs w:val="22"/>
          <w:lang w:val="en-US"/>
        </w:rPr>
        <w:t>Corporate Centre and projects</w:t>
      </w:r>
      <w:r w:rsidRPr="00787BDD">
        <w:rPr>
          <w:b/>
          <w:sz w:val="22"/>
          <w:szCs w:val="22"/>
          <w:lang w:val="en-US"/>
        </w:rPr>
        <w:t>”</w:t>
      </w:r>
      <w:r>
        <w:rPr>
          <w:b/>
          <w:sz w:val="22"/>
          <w:szCs w:val="22"/>
          <w:lang w:val="en-US"/>
        </w:rPr>
        <w:t xml:space="preserve"> </w:t>
      </w:r>
      <w:r w:rsidRPr="00787BDD">
        <w:rPr>
          <w:sz w:val="22"/>
          <w:szCs w:val="22"/>
          <w:lang w:val="en-US"/>
        </w:rPr>
        <w:t>Segment</w:t>
      </w:r>
      <w:r w:rsidRPr="00787BDD">
        <w:rPr>
          <w:b/>
          <w:sz w:val="22"/>
          <w:szCs w:val="22"/>
          <w:lang w:val="en-US"/>
        </w:rPr>
        <w:t xml:space="preserve"> </w:t>
      </w:r>
      <w:r>
        <w:rPr>
          <w:sz w:val="22"/>
          <w:szCs w:val="22"/>
          <w:lang w:val="en-US"/>
        </w:rPr>
        <w:t>includes</w:t>
      </w:r>
      <w:r w:rsidRPr="00787BDD">
        <w:rPr>
          <w:sz w:val="22"/>
          <w:szCs w:val="22"/>
          <w:lang w:val="en-US"/>
        </w:rPr>
        <w:t xml:space="preserve"> </w:t>
      </w:r>
      <w:r>
        <w:rPr>
          <w:sz w:val="22"/>
          <w:szCs w:val="22"/>
          <w:lang w:val="en-US"/>
        </w:rPr>
        <w:t>“</w:t>
      </w:r>
      <w:proofErr w:type="spellStart"/>
      <w:r>
        <w:rPr>
          <w:sz w:val="22"/>
          <w:szCs w:val="22"/>
          <w:lang w:val="en-US"/>
        </w:rPr>
        <w:t>Samruk-Kazyna</w:t>
      </w:r>
      <w:proofErr w:type="spellEnd"/>
      <w:r>
        <w:rPr>
          <w:sz w:val="22"/>
          <w:szCs w:val="22"/>
          <w:lang w:val="en-US"/>
        </w:rPr>
        <w:t>” JSC</w:t>
      </w:r>
      <w:r w:rsidRPr="001E7106">
        <w:rPr>
          <w:sz w:val="22"/>
          <w:szCs w:val="22"/>
          <w:lang w:val="kk-KZ"/>
        </w:rPr>
        <w:t xml:space="preserve">, </w:t>
      </w:r>
      <w:r w:rsidRPr="00787BDD">
        <w:rPr>
          <w:sz w:val="22"/>
          <w:szCs w:val="22"/>
          <w:lang w:val="kk-KZ"/>
        </w:rPr>
        <w:t xml:space="preserve">as well as </w:t>
      </w:r>
      <w:r>
        <w:rPr>
          <w:sz w:val="22"/>
          <w:szCs w:val="22"/>
          <w:lang w:val="en-US"/>
        </w:rPr>
        <w:t>“</w:t>
      </w:r>
      <w:r w:rsidRPr="00787BDD">
        <w:rPr>
          <w:sz w:val="22"/>
          <w:szCs w:val="22"/>
          <w:lang w:val="kk-KZ"/>
        </w:rPr>
        <w:t>S</w:t>
      </w:r>
      <w:proofErr w:type="spellStart"/>
      <w:r>
        <w:rPr>
          <w:sz w:val="22"/>
          <w:szCs w:val="22"/>
          <w:lang w:val="en-US"/>
        </w:rPr>
        <w:t>amruk</w:t>
      </w:r>
      <w:proofErr w:type="spellEnd"/>
      <w:r>
        <w:rPr>
          <w:sz w:val="22"/>
          <w:szCs w:val="22"/>
          <w:lang w:val="en-US"/>
        </w:rPr>
        <w:t>-</w:t>
      </w:r>
      <w:r w:rsidRPr="00787BDD">
        <w:rPr>
          <w:sz w:val="22"/>
          <w:szCs w:val="22"/>
          <w:lang w:val="kk-KZ"/>
        </w:rPr>
        <w:t>K</w:t>
      </w:r>
      <w:proofErr w:type="spellStart"/>
      <w:r>
        <w:rPr>
          <w:sz w:val="22"/>
          <w:szCs w:val="22"/>
          <w:lang w:val="en-US"/>
        </w:rPr>
        <w:t>azyna</w:t>
      </w:r>
      <w:proofErr w:type="spellEnd"/>
      <w:r w:rsidRPr="00787BDD">
        <w:rPr>
          <w:sz w:val="22"/>
          <w:szCs w:val="22"/>
          <w:lang w:val="kk-KZ"/>
        </w:rPr>
        <w:t xml:space="preserve"> Invest</w:t>
      </w:r>
      <w:r>
        <w:rPr>
          <w:sz w:val="22"/>
          <w:szCs w:val="22"/>
          <w:lang w:val="en-US"/>
        </w:rPr>
        <w:t>” LLP</w:t>
      </w:r>
      <w:r w:rsidRPr="00787BDD">
        <w:rPr>
          <w:sz w:val="22"/>
          <w:szCs w:val="22"/>
          <w:lang w:val="kk-KZ"/>
        </w:rPr>
        <w:t xml:space="preserve">, </w:t>
      </w:r>
      <w:r>
        <w:rPr>
          <w:sz w:val="22"/>
          <w:szCs w:val="22"/>
          <w:lang w:val="en-US"/>
        </w:rPr>
        <w:t>“</w:t>
      </w:r>
      <w:r w:rsidRPr="00787BDD">
        <w:rPr>
          <w:sz w:val="22"/>
          <w:szCs w:val="22"/>
          <w:lang w:val="kk-KZ"/>
        </w:rPr>
        <w:t>S</w:t>
      </w:r>
      <w:proofErr w:type="spellStart"/>
      <w:r>
        <w:rPr>
          <w:sz w:val="22"/>
          <w:szCs w:val="22"/>
          <w:lang w:val="en-US"/>
        </w:rPr>
        <w:t>amruk</w:t>
      </w:r>
      <w:proofErr w:type="spellEnd"/>
      <w:r>
        <w:rPr>
          <w:sz w:val="22"/>
          <w:szCs w:val="22"/>
          <w:lang w:val="en-US"/>
        </w:rPr>
        <w:t>-</w:t>
      </w:r>
      <w:r w:rsidRPr="00787BDD">
        <w:rPr>
          <w:sz w:val="22"/>
          <w:szCs w:val="22"/>
          <w:lang w:val="kk-KZ"/>
        </w:rPr>
        <w:t>K</w:t>
      </w:r>
      <w:proofErr w:type="spellStart"/>
      <w:r>
        <w:rPr>
          <w:sz w:val="22"/>
          <w:szCs w:val="22"/>
          <w:lang w:val="en-US"/>
        </w:rPr>
        <w:t>azyna</w:t>
      </w:r>
      <w:proofErr w:type="spellEnd"/>
      <w:r w:rsidRPr="00787BDD">
        <w:rPr>
          <w:sz w:val="22"/>
          <w:szCs w:val="22"/>
          <w:lang w:val="kk-KZ"/>
        </w:rPr>
        <w:t xml:space="preserve"> Contract</w:t>
      </w:r>
      <w:r>
        <w:rPr>
          <w:sz w:val="22"/>
          <w:szCs w:val="22"/>
          <w:lang w:val="en-US"/>
        </w:rPr>
        <w:t>” LLP</w:t>
      </w:r>
      <w:r w:rsidRPr="00787BDD">
        <w:rPr>
          <w:sz w:val="22"/>
          <w:szCs w:val="22"/>
          <w:lang w:val="kk-KZ"/>
        </w:rPr>
        <w:t xml:space="preserve">, </w:t>
      </w:r>
      <w:r>
        <w:rPr>
          <w:sz w:val="22"/>
          <w:szCs w:val="22"/>
          <w:lang w:val="en-US"/>
        </w:rPr>
        <w:t>“</w:t>
      </w:r>
      <w:r w:rsidRPr="00787BDD">
        <w:rPr>
          <w:sz w:val="22"/>
          <w:szCs w:val="22"/>
          <w:lang w:val="kk-KZ"/>
        </w:rPr>
        <w:t>S</w:t>
      </w:r>
      <w:proofErr w:type="spellStart"/>
      <w:r>
        <w:rPr>
          <w:sz w:val="22"/>
          <w:szCs w:val="22"/>
          <w:lang w:val="en-US"/>
        </w:rPr>
        <w:t>amruk</w:t>
      </w:r>
      <w:proofErr w:type="spellEnd"/>
      <w:r>
        <w:rPr>
          <w:sz w:val="22"/>
          <w:szCs w:val="22"/>
          <w:lang w:val="en-US"/>
        </w:rPr>
        <w:t>-</w:t>
      </w:r>
      <w:r w:rsidRPr="00787BDD">
        <w:rPr>
          <w:sz w:val="22"/>
          <w:szCs w:val="22"/>
          <w:lang w:val="kk-KZ"/>
        </w:rPr>
        <w:t>K</w:t>
      </w:r>
      <w:proofErr w:type="spellStart"/>
      <w:r>
        <w:rPr>
          <w:sz w:val="22"/>
          <w:szCs w:val="22"/>
          <w:lang w:val="en-US"/>
        </w:rPr>
        <w:t>azyna</w:t>
      </w:r>
      <w:proofErr w:type="spellEnd"/>
      <w:r w:rsidRPr="00787BDD">
        <w:rPr>
          <w:sz w:val="22"/>
          <w:szCs w:val="22"/>
          <w:lang w:val="kk-KZ"/>
        </w:rPr>
        <w:t xml:space="preserve"> Finance</w:t>
      </w:r>
      <w:r>
        <w:rPr>
          <w:sz w:val="22"/>
          <w:szCs w:val="22"/>
          <w:lang w:val="en-US"/>
        </w:rPr>
        <w:t>” LLP,</w:t>
      </w:r>
      <w:r w:rsidRPr="00787BDD">
        <w:rPr>
          <w:sz w:val="22"/>
          <w:szCs w:val="22"/>
          <w:lang w:val="kk-KZ"/>
        </w:rPr>
        <w:t xml:space="preserve"> </w:t>
      </w:r>
      <w:r>
        <w:rPr>
          <w:sz w:val="22"/>
          <w:szCs w:val="22"/>
          <w:lang w:val="en-US"/>
        </w:rPr>
        <w:t>“</w:t>
      </w:r>
      <w:r w:rsidRPr="00787BDD">
        <w:rPr>
          <w:sz w:val="22"/>
          <w:szCs w:val="22"/>
          <w:lang w:val="kk-KZ"/>
        </w:rPr>
        <w:t>S</w:t>
      </w:r>
      <w:proofErr w:type="spellStart"/>
      <w:r>
        <w:rPr>
          <w:sz w:val="22"/>
          <w:szCs w:val="22"/>
          <w:lang w:val="en-US"/>
        </w:rPr>
        <w:t>amruk</w:t>
      </w:r>
      <w:proofErr w:type="spellEnd"/>
      <w:r>
        <w:rPr>
          <w:sz w:val="22"/>
          <w:szCs w:val="22"/>
          <w:lang w:val="en-US"/>
        </w:rPr>
        <w:t>-</w:t>
      </w:r>
      <w:r w:rsidRPr="00787BDD">
        <w:rPr>
          <w:sz w:val="22"/>
          <w:szCs w:val="22"/>
          <w:lang w:val="kk-KZ"/>
        </w:rPr>
        <w:t>K</w:t>
      </w:r>
      <w:proofErr w:type="spellStart"/>
      <w:r>
        <w:rPr>
          <w:sz w:val="22"/>
          <w:szCs w:val="22"/>
          <w:lang w:val="en-US"/>
        </w:rPr>
        <w:t>azyna</w:t>
      </w:r>
      <w:proofErr w:type="spellEnd"/>
      <w:r w:rsidRPr="00787BDD">
        <w:rPr>
          <w:sz w:val="22"/>
          <w:szCs w:val="22"/>
          <w:lang w:val="kk-KZ"/>
        </w:rPr>
        <w:t xml:space="preserve"> </w:t>
      </w:r>
      <w:r w:rsidR="00886D27" w:rsidRPr="00886D27">
        <w:rPr>
          <w:sz w:val="22"/>
          <w:szCs w:val="22"/>
          <w:lang w:val="kk-KZ"/>
        </w:rPr>
        <w:t>Pharmaceuticals</w:t>
      </w:r>
      <w:r w:rsidR="005A62D0">
        <w:rPr>
          <w:sz w:val="22"/>
          <w:szCs w:val="22"/>
          <w:lang w:val="en-US"/>
        </w:rPr>
        <w:t>” LLP</w:t>
      </w:r>
      <w:r>
        <w:rPr>
          <w:sz w:val="22"/>
          <w:szCs w:val="22"/>
          <w:lang w:val="en-US"/>
        </w:rPr>
        <w:t xml:space="preserve">. </w:t>
      </w:r>
    </w:p>
    <w:p w:rsidR="002664E4" w:rsidRDefault="002664E4" w:rsidP="002664E4">
      <w:pPr>
        <w:tabs>
          <w:tab w:val="left" w:pos="426"/>
          <w:tab w:val="left" w:pos="993"/>
        </w:tabs>
        <w:autoSpaceDE w:val="0"/>
        <w:autoSpaceDN w:val="0"/>
        <w:adjustRightInd w:val="0"/>
        <w:ind w:left="-567" w:firstLine="567"/>
        <w:jc w:val="both"/>
        <w:rPr>
          <w:color w:val="000000"/>
          <w:sz w:val="22"/>
          <w:szCs w:val="22"/>
          <w:lang w:val="en-US"/>
        </w:rPr>
      </w:pPr>
      <w:r>
        <w:rPr>
          <w:color w:val="000000"/>
          <w:sz w:val="22"/>
          <w:szCs w:val="22"/>
          <w:lang w:val="en-US"/>
        </w:rPr>
        <w:t>T</w:t>
      </w:r>
      <w:r w:rsidRPr="00787BDD">
        <w:rPr>
          <w:color w:val="000000"/>
          <w:sz w:val="22"/>
          <w:szCs w:val="22"/>
          <w:lang w:val="kk-KZ"/>
        </w:rPr>
        <w:t xml:space="preserve">he following </w:t>
      </w:r>
      <w:r w:rsidRPr="005A62D0">
        <w:rPr>
          <w:b/>
          <w:color w:val="000000"/>
          <w:sz w:val="22"/>
          <w:szCs w:val="22"/>
          <w:lang w:val="kk-KZ"/>
        </w:rPr>
        <w:t>significant events</w:t>
      </w:r>
      <w:r w:rsidRPr="00787BDD">
        <w:rPr>
          <w:color w:val="000000"/>
          <w:sz w:val="22"/>
          <w:szCs w:val="22"/>
          <w:lang w:val="kk-KZ"/>
        </w:rPr>
        <w:t xml:space="preserve"> </w:t>
      </w:r>
      <w:r>
        <w:rPr>
          <w:color w:val="000000"/>
          <w:sz w:val="22"/>
          <w:szCs w:val="22"/>
          <w:lang w:val="en-US"/>
        </w:rPr>
        <w:t>happened i</w:t>
      </w:r>
      <w:r w:rsidRPr="00787BDD">
        <w:rPr>
          <w:color w:val="000000"/>
          <w:sz w:val="22"/>
          <w:szCs w:val="22"/>
          <w:lang w:val="kk-KZ"/>
        </w:rPr>
        <w:t xml:space="preserve">n </w:t>
      </w:r>
      <w:r w:rsidR="005A62D0">
        <w:rPr>
          <w:color w:val="000000"/>
          <w:sz w:val="22"/>
          <w:szCs w:val="22"/>
          <w:lang w:val="en-US"/>
        </w:rPr>
        <w:t>the reporting period</w:t>
      </w:r>
      <w:r w:rsidRPr="00787BDD">
        <w:rPr>
          <w:color w:val="000000"/>
          <w:sz w:val="22"/>
          <w:szCs w:val="22"/>
          <w:lang w:val="kk-KZ"/>
        </w:rPr>
        <w:t xml:space="preserve"> </w:t>
      </w:r>
      <w:r>
        <w:rPr>
          <w:color w:val="000000"/>
          <w:sz w:val="22"/>
          <w:szCs w:val="22"/>
          <w:lang w:val="en-US"/>
        </w:rPr>
        <w:t xml:space="preserve">in </w:t>
      </w:r>
      <w:r w:rsidRPr="00787BDD">
        <w:rPr>
          <w:color w:val="000000"/>
          <w:sz w:val="22"/>
          <w:szCs w:val="22"/>
          <w:lang w:val="kk-KZ"/>
        </w:rPr>
        <w:t>the Fund:</w:t>
      </w:r>
    </w:p>
    <w:p w:rsidR="005A62D0" w:rsidRPr="005A62D0" w:rsidRDefault="002664E4" w:rsidP="005A62D0">
      <w:pPr>
        <w:tabs>
          <w:tab w:val="left" w:pos="284"/>
        </w:tabs>
        <w:ind w:left="-567" w:firstLine="567"/>
        <w:jc w:val="both"/>
        <w:rPr>
          <w:color w:val="000000"/>
          <w:sz w:val="22"/>
          <w:szCs w:val="22"/>
          <w:lang w:val="en-US"/>
        </w:rPr>
      </w:pPr>
      <w:r w:rsidRPr="00787BDD">
        <w:rPr>
          <w:color w:val="000000"/>
          <w:sz w:val="22"/>
          <w:szCs w:val="22"/>
          <w:lang w:val="en-US"/>
        </w:rPr>
        <w:t xml:space="preserve">1) </w:t>
      </w:r>
      <w:r w:rsidR="00644642" w:rsidRPr="00644642">
        <w:rPr>
          <w:color w:val="000000"/>
          <w:sz w:val="22"/>
          <w:szCs w:val="22"/>
          <w:lang w:val="en-US"/>
        </w:rPr>
        <w:t xml:space="preserve">The Fund was transferred 100% state-owned shares in “Share Management Company in the final production sharing agreement” LLP (hereinafter - SMCFPSA) (in the amount of KZT 300.1 billion). On June </w:t>
      </w:r>
      <w:r w:rsidR="00644642" w:rsidRPr="00644642">
        <w:rPr>
          <w:color w:val="000000"/>
          <w:sz w:val="22"/>
          <w:szCs w:val="22"/>
          <w:lang w:val="en-US"/>
        </w:rPr>
        <w:lastRenderedPageBreak/>
        <w:t>29, 2012 the Fund transferred SMCFPSA to JSC “National Company “KazMunayGas” for shares in the amount of KZT 150.0 billion and remuneration in money, amounting to KZT 150.0 billion</w:t>
      </w:r>
      <w:r w:rsidR="005A62D0">
        <w:rPr>
          <w:color w:val="000000"/>
          <w:sz w:val="22"/>
          <w:szCs w:val="22"/>
          <w:lang w:val="en-US"/>
        </w:rPr>
        <w:t>.</w:t>
      </w:r>
    </w:p>
    <w:p w:rsidR="005A62D0" w:rsidRPr="005A62D0"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2) The Fund was </w:t>
      </w:r>
      <w:r w:rsidR="000820BB" w:rsidRPr="005A62D0">
        <w:rPr>
          <w:color w:val="000000"/>
          <w:sz w:val="22"/>
          <w:szCs w:val="22"/>
          <w:lang w:val="en-US"/>
        </w:rPr>
        <w:t xml:space="preserve">transferred </w:t>
      </w:r>
      <w:r w:rsidRPr="005A62D0">
        <w:rPr>
          <w:color w:val="000000"/>
          <w:sz w:val="22"/>
          <w:szCs w:val="22"/>
          <w:lang w:val="en-US"/>
        </w:rPr>
        <w:t xml:space="preserve">100% </w:t>
      </w:r>
      <w:r w:rsidR="000820BB" w:rsidRPr="005A62D0">
        <w:rPr>
          <w:color w:val="000000"/>
          <w:sz w:val="22"/>
          <w:szCs w:val="22"/>
          <w:lang w:val="en-US"/>
        </w:rPr>
        <w:t xml:space="preserve">state-owned </w:t>
      </w:r>
      <w:r w:rsidR="000820BB">
        <w:rPr>
          <w:color w:val="000000"/>
          <w:sz w:val="22"/>
          <w:szCs w:val="22"/>
          <w:lang w:val="en-US"/>
        </w:rPr>
        <w:t>shares of “</w:t>
      </w:r>
      <w:proofErr w:type="spellStart"/>
      <w:r w:rsidRPr="005A62D0">
        <w:rPr>
          <w:color w:val="000000"/>
          <w:sz w:val="22"/>
          <w:szCs w:val="22"/>
          <w:lang w:val="en-US"/>
        </w:rPr>
        <w:t>Arkaga</w:t>
      </w:r>
      <w:r w:rsidR="000820BB">
        <w:rPr>
          <w:color w:val="000000"/>
          <w:sz w:val="22"/>
          <w:szCs w:val="22"/>
          <w:lang w:val="en-US"/>
        </w:rPr>
        <w:t>s</w:t>
      </w:r>
      <w:proofErr w:type="spellEnd"/>
      <w:r w:rsidR="000820BB">
        <w:rPr>
          <w:color w:val="000000"/>
          <w:sz w:val="22"/>
          <w:szCs w:val="22"/>
          <w:lang w:val="en-US"/>
        </w:rPr>
        <w:t>” JSC</w:t>
      </w:r>
      <w:r w:rsidRPr="005A62D0">
        <w:rPr>
          <w:color w:val="000000"/>
          <w:sz w:val="22"/>
          <w:szCs w:val="22"/>
          <w:lang w:val="en-US"/>
        </w:rPr>
        <w:t xml:space="preserve"> of </w:t>
      </w:r>
      <w:r w:rsidR="000820BB">
        <w:rPr>
          <w:color w:val="000000"/>
          <w:sz w:val="22"/>
          <w:szCs w:val="22"/>
          <w:lang w:val="en-US"/>
        </w:rPr>
        <w:t>KZT</w:t>
      </w:r>
      <w:r w:rsidRPr="005A62D0">
        <w:rPr>
          <w:color w:val="000000"/>
          <w:sz w:val="22"/>
          <w:szCs w:val="22"/>
          <w:lang w:val="en-US"/>
        </w:rPr>
        <w:t xml:space="preserve"> 4.1 billion. </w:t>
      </w:r>
      <w:r w:rsidR="000820BB">
        <w:rPr>
          <w:color w:val="000000"/>
          <w:sz w:val="22"/>
          <w:szCs w:val="22"/>
          <w:lang w:val="en-US"/>
        </w:rPr>
        <w:t>On June 26, 2012 t</w:t>
      </w:r>
      <w:r w:rsidRPr="005A62D0">
        <w:rPr>
          <w:color w:val="000000"/>
          <w:sz w:val="22"/>
          <w:szCs w:val="22"/>
          <w:lang w:val="en-US"/>
        </w:rPr>
        <w:t xml:space="preserve">he Fund </w:t>
      </w:r>
      <w:r w:rsidR="000820BB" w:rsidRPr="005A62D0">
        <w:rPr>
          <w:color w:val="000000"/>
          <w:sz w:val="22"/>
          <w:szCs w:val="22"/>
          <w:lang w:val="en-US"/>
        </w:rPr>
        <w:t>transfer</w:t>
      </w:r>
      <w:r w:rsidR="000820BB">
        <w:rPr>
          <w:color w:val="000000"/>
          <w:sz w:val="22"/>
          <w:szCs w:val="22"/>
          <w:lang w:val="en-US"/>
        </w:rPr>
        <w:t>red</w:t>
      </w:r>
      <w:r w:rsidR="000820BB" w:rsidRPr="005A62D0">
        <w:rPr>
          <w:color w:val="000000"/>
          <w:sz w:val="22"/>
          <w:szCs w:val="22"/>
          <w:lang w:val="en-US"/>
        </w:rPr>
        <w:t xml:space="preserve"> </w:t>
      </w:r>
      <w:r w:rsidRPr="005A62D0">
        <w:rPr>
          <w:color w:val="000000"/>
          <w:sz w:val="22"/>
          <w:szCs w:val="22"/>
          <w:lang w:val="en-US"/>
        </w:rPr>
        <w:t>100% share</w:t>
      </w:r>
      <w:r w:rsidR="000820BB">
        <w:rPr>
          <w:color w:val="000000"/>
          <w:sz w:val="22"/>
          <w:szCs w:val="22"/>
          <w:lang w:val="en-US"/>
        </w:rPr>
        <w:t>s</w:t>
      </w:r>
      <w:r w:rsidRPr="005A62D0">
        <w:rPr>
          <w:color w:val="000000"/>
          <w:sz w:val="22"/>
          <w:szCs w:val="22"/>
          <w:lang w:val="en-US"/>
        </w:rPr>
        <w:t xml:space="preserve"> of </w:t>
      </w:r>
      <w:r w:rsidR="000820BB">
        <w:rPr>
          <w:color w:val="000000"/>
          <w:sz w:val="22"/>
          <w:szCs w:val="22"/>
          <w:lang w:val="en-US"/>
        </w:rPr>
        <w:t>“</w:t>
      </w:r>
      <w:proofErr w:type="spellStart"/>
      <w:r w:rsidR="000820BB" w:rsidRPr="005A62D0">
        <w:rPr>
          <w:color w:val="000000"/>
          <w:sz w:val="22"/>
          <w:szCs w:val="22"/>
          <w:lang w:val="en-US"/>
        </w:rPr>
        <w:t>Arkaga</w:t>
      </w:r>
      <w:r w:rsidR="000820BB">
        <w:rPr>
          <w:color w:val="000000"/>
          <w:sz w:val="22"/>
          <w:szCs w:val="22"/>
          <w:lang w:val="en-US"/>
        </w:rPr>
        <w:t>s</w:t>
      </w:r>
      <w:proofErr w:type="spellEnd"/>
      <w:r w:rsidR="000820BB">
        <w:rPr>
          <w:color w:val="000000"/>
          <w:sz w:val="22"/>
          <w:szCs w:val="22"/>
          <w:lang w:val="en-US"/>
        </w:rPr>
        <w:t>” JSC</w:t>
      </w:r>
      <w:r w:rsidR="000820BB" w:rsidRPr="005A62D0">
        <w:rPr>
          <w:color w:val="000000"/>
          <w:sz w:val="22"/>
          <w:szCs w:val="22"/>
          <w:lang w:val="en-US"/>
        </w:rPr>
        <w:t xml:space="preserve"> </w:t>
      </w:r>
      <w:r w:rsidRPr="005A62D0">
        <w:rPr>
          <w:color w:val="000000"/>
          <w:sz w:val="22"/>
          <w:szCs w:val="22"/>
          <w:lang w:val="en-US"/>
        </w:rPr>
        <w:t xml:space="preserve">in the amount of </w:t>
      </w:r>
      <w:r w:rsidR="000820BB">
        <w:rPr>
          <w:color w:val="000000"/>
          <w:sz w:val="22"/>
          <w:szCs w:val="22"/>
          <w:lang w:val="en-US"/>
        </w:rPr>
        <w:t xml:space="preserve">KZT </w:t>
      </w:r>
      <w:r w:rsidRPr="005A62D0">
        <w:rPr>
          <w:color w:val="000000"/>
          <w:sz w:val="22"/>
          <w:szCs w:val="22"/>
          <w:lang w:val="en-US"/>
        </w:rPr>
        <w:t xml:space="preserve">4.1 billion </w:t>
      </w:r>
      <w:r w:rsidR="000820BB">
        <w:rPr>
          <w:color w:val="000000"/>
          <w:sz w:val="22"/>
          <w:szCs w:val="22"/>
          <w:lang w:val="en-US"/>
        </w:rPr>
        <w:t>to</w:t>
      </w:r>
      <w:r w:rsidRPr="005A62D0">
        <w:rPr>
          <w:color w:val="000000"/>
          <w:sz w:val="22"/>
          <w:szCs w:val="22"/>
          <w:lang w:val="en-US"/>
        </w:rPr>
        <w:t xml:space="preserve"> </w:t>
      </w:r>
      <w:r w:rsidR="000820BB">
        <w:rPr>
          <w:color w:val="000000"/>
          <w:sz w:val="22"/>
          <w:szCs w:val="22"/>
          <w:lang w:val="en-US"/>
        </w:rPr>
        <w:t>JSC “</w:t>
      </w:r>
      <w:r w:rsidR="000820BB" w:rsidRPr="005A62D0">
        <w:rPr>
          <w:color w:val="000000"/>
          <w:sz w:val="22"/>
          <w:szCs w:val="22"/>
          <w:lang w:val="en-US"/>
        </w:rPr>
        <w:t>Na</w:t>
      </w:r>
      <w:r w:rsidR="000820BB">
        <w:rPr>
          <w:color w:val="000000"/>
          <w:sz w:val="22"/>
          <w:szCs w:val="22"/>
          <w:lang w:val="en-US"/>
        </w:rPr>
        <w:t>tional Company</w:t>
      </w:r>
      <w:r w:rsidR="000820BB" w:rsidRPr="005A62D0">
        <w:rPr>
          <w:color w:val="000000"/>
          <w:sz w:val="22"/>
          <w:szCs w:val="22"/>
          <w:lang w:val="en-US"/>
        </w:rPr>
        <w:t xml:space="preserve"> </w:t>
      </w:r>
      <w:r w:rsidR="000820BB">
        <w:rPr>
          <w:color w:val="000000"/>
          <w:sz w:val="22"/>
          <w:szCs w:val="22"/>
          <w:lang w:val="en-US"/>
        </w:rPr>
        <w:t>“</w:t>
      </w:r>
      <w:r w:rsidR="000820BB" w:rsidRPr="005A62D0">
        <w:rPr>
          <w:color w:val="000000"/>
          <w:sz w:val="22"/>
          <w:szCs w:val="22"/>
          <w:lang w:val="en-US"/>
        </w:rPr>
        <w:t>KazMuna</w:t>
      </w:r>
      <w:r w:rsidR="000820BB">
        <w:rPr>
          <w:color w:val="000000"/>
          <w:sz w:val="22"/>
          <w:szCs w:val="22"/>
          <w:lang w:val="en-US"/>
        </w:rPr>
        <w:t>yGas”</w:t>
      </w:r>
      <w:r w:rsidRPr="005A62D0">
        <w:rPr>
          <w:color w:val="000000"/>
          <w:sz w:val="22"/>
          <w:szCs w:val="22"/>
          <w:lang w:val="en-US"/>
        </w:rPr>
        <w:t>;</w:t>
      </w:r>
    </w:p>
    <w:p w:rsidR="005A62D0" w:rsidRPr="005A62D0"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3) </w:t>
      </w:r>
      <w:r w:rsidR="000820BB">
        <w:rPr>
          <w:color w:val="000000"/>
          <w:sz w:val="22"/>
          <w:szCs w:val="22"/>
          <w:lang w:val="en-US"/>
        </w:rPr>
        <w:t xml:space="preserve">The </w:t>
      </w:r>
      <w:r w:rsidRPr="005A62D0">
        <w:rPr>
          <w:color w:val="000000"/>
          <w:sz w:val="22"/>
          <w:szCs w:val="22"/>
          <w:lang w:val="en-US"/>
        </w:rPr>
        <w:t xml:space="preserve">Fund </w:t>
      </w:r>
      <w:r w:rsidR="000820BB">
        <w:rPr>
          <w:color w:val="000000"/>
          <w:sz w:val="22"/>
          <w:szCs w:val="22"/>
          <w:lang w:val="en-US"/>
        </w:rPr>
        <w:t xml:space="preserve">concluded the </w:t>
      </w:r>
      <w:r w:rsidRPr="005A62D0">
        <w:rPr>
          <w:color w:val="000000"/>
          <w:sz w:val="22"/>
          <w:szCs w:val="22"/>
          <w:lang w:val="en-US"/>
        </w:rPr>
        <w:t>contract to purchase shares</w:t>
      </w:r>
      <w:r w:rsidR="000820BB">
        <w:rPr>
          <w:color w:val="000000"/>
          <w:sz w:val="22"/>
          <w:szCs w:val="22"/>
          <w:lang w:val="en-US"/>
        </w:rPr>
        <w:t xml:space="preserve"> in the Turkish bank </w:t>
      </w:r>
      <w:proofErr w:type="spellStart"/>
      <w:r w:rsidR="000820BB">
        <w:rPr>
          <w:color w:val="000000"/>
          <w:sz w:val="22"/>
          <w:szCs w:val="22"/>
          <w:lang w:val="en-US"/>
        </w:rPr>
        <w:t>Shekerbank</w:t>
      </w:r>
      <w:proofErr w:type="spellEnd"/>
      <w:r w:rsidR="000820BB">
        <w:rPr>
          <w:color w:val="000000"/>
          <w:sz w:val="22"/>
          <w:szCs w:val="22"/>
          <w:lang w:val="en-US"/>
        </w:rPr>
        <w:t xml:space="preserve"> from “</w:t>
      </w:r>
      <w:r w:rsidRPr="005A62D0">
        <w:rPr>
          <w:color w:val="000000"/>
          <w:sz w:val="22"/>
          <w:szCs w:val="22"/>
          <w:lang w:val="en-US"/>
        </w:rPr>
        <w:t>BTA Securities</w:t>
      </w:r>
      <w:r w:rsidR="000820BB">
        <w:rPr>
          <w:color w:val="000000"/>
          <w:sz w:val="22"/>
          <w:szCs w:val="22"/>
          <w:lang w:val="en-US"/>
        </w:rPr>
        <w:t>” JSC</w:t>
      </w:r>
      <w:r w:rsidRPr="005A62D0">
        <w:rPr>
          <w:color w:val="000000"/>
          <w:sz w:val="22"/>
          <w:szCs w:val="22"/>
          <w:lang w:val="en-US"/>
        </w:rPr>
        <w:t xml:space="preserve"> (subsidiary of JSC </w:t>
      </w:r>
      <w:r w:rsidR="000820BB">
        <w:rPr>
          <w:color w:val="000000"/>
          <w:sz w:val="22"/>
          <w:szCs w:val="22"/>
          <w:lang w:val="en-US"/>
        </w:rPr>
        <w:t>“</w:t>
      </w:r>
      <w:r w:rsidRPr="005A62D0">
        <w:rPr>
          <w:color w:val="000000"/>
          <w:sz w:val="22"/>
          <w:szCs w:val="22"/>
          <w:lang w:val="en-US"/>
        </w:rPr>
        <w:t>BTA Bank</w:t>
      </w:r>
      <w:r w:rsidR="000820BB">
        <w:rPr>
          <w:color w:val="000000"/>
          <w:sz w:val="22"/>
          <w:szCs w:val="22"/>
          <w:lang w:val="en-US"/>
        </w:rPr>
        <w:t>”) in the amount of 339 </w:t>
      </w:r>
      <w:r w:rsidRPr="005A62D0">
        <w:rPr>
          <w:color w:val="000000"/>
          <w:sz w:val="22"/>
          <w:szCs w:val="22"/>
          <w:lang w:val="en-US"/>
        </w:rPr>
        <w:t>787</w:t>
      </w:r>
      <w:r w:rsidR="000820BB">
        <w:rPr>
          <w:color w:val="000000"/>
          <w:sz w:val="22"/>
          <w:szCs w:val="22"/>
          <w:lang w:val="en-US"/>
        </w:rPr>
        <w:t xml:space="preserve"> </w:t>
      </w:r>
      <w:r w:rsidRPr="005A62D0">
        <w:rPr>
          <w:color w:val="000000"/>
          <w:sz w:val="22"/>
          <w:szCs w:val="22"/>
          <w:lang w:val="en-US"/>
        </w:rPr>
        <w:t xml:space="preserve">080 shares, representing 33.98%. </w:t>
      </w:r>
      <w:r w:rsidR="000820BB">
        <w:rPr>
          <w:color w:val="000000"/>
          <w:sz w:val="22"/>
          <w:szCs w:val="22"/>
          <w:lang w:val="en-US"/>
        </w:rPr>
        <w:t xml:space="preserve">On </w:t>
      </w:r>
      <w:r w:rsidRPr="005A62D0">
        <w:rPr>
          <w:color w:val="000000"/>
          <w:sz w:val="22"/>
          <w:szCs w:val="22"/>
          <w:lang w:val="en-US"/>
        </w:rPr>
        <w:t>March 16, 2012 the Fund acquired 222</w:t>
      </w:r>
      <w:r w:rsidR="000820BB">
        <w:rPr>
          <w:color w:val="000000"/>
          <w:sz w:val="22"/>
          <w:szCs w:val="22"/>
          <w:lang w:val="en-US"/>
        </w:rPr>
        <w:t xml:space="preserve"> 148 </w:t>
      </w:r>
      <w:r w:rsidRPr="005A62D0">
        <w:rPr>
          <w:color w:val="000000"/>
          <w:sz w:val="22"/>
          <w:szCs w:val="22"/>
          <w:lang w:val="en-US"/>
        </w:rPr>
        <w:t xml:space="preserve">406 shares </w:t>
      </w:r>
      <w:r w:rsidR="000820BB">
        <w:rPr>
          <w:color w:val="000000"/>
          <w:sz w:val="22"/>
          <w:szCs w:val="22"/>
          <w:lang w:val="en-US"/>
        </w:rPr>
        <w:t xml:space="preserve">of </w:t>
      </w:r>
      <w:proofErr w:type="spellStart"/>
      <w:r w:rsidRPr="005A62D0">
        <w:rPr>
          <w:color w:val="000000"/>
          <w:sz w:val="22"/>
          <w:szCs w:val="22"/>
          <w:lang w:val="en-US"/>
        </w:rPr>
        <w:t>Shekerbank</w:t>
      </w:r>
      <w:proofErr w:type="spellEnd"/>
      <w:r w:rsidRPr="005A62D0">
        <w:rPr>
          <w:color w:val="000000"/>
          <w:sz w:val="22"/>
          <w:szCs w:val="22"/>
          <w:lang w:val="en-US"/>
        </w:rPr>
        <w:t xml:space="preserve">, representing 22.2% </w:t>
      </w:r>
      <w:r w:rsidR="000820BB">
        <w:rPr>
          <w:color w:val="000000"/>
          <w:sz w:val="22"/>
          <w:szCs w:val="22"/>
          <w:lang w:val="en-US"/>
        </w:rPr>
        <w:t>interest</w:t>
      </w:r>
      <w:r w:rsidRPr="005A62D0">
        <w:rPr>
          <w:color w:val="000000"/>
          <w:sz w:val="22"/>
          <w:szCs w:val="22"/>
          <w:lang w:val="en-US"/>
        </w:rPr>
        <w:t xml:space="preserve"> o</w:t>
      </w:r>
      <w:r w:rsidR="000820BB">
        <w:rPr>
          <w:color w:val="000000"/>
          <w:sz w:val="22"/>
          <w:szCs w:val="22"/>
          <w:lang w:val="en-US"/>
        </w:rPr>
        <w:t>f the Fund</w:t>
      </w:r>
      <w:r w:rsidRPr="005A62D0">
        <w:rPr>
          <w:color w:val="000000"/>
          <w:sz w:val="22"/>
          <w:szCs w:val="22"/>
          <w:lang w:val="en-US"/>
        </w:rPr>
        <w:t xml:space="preserve"> in the Turkish bank </w:t>
      </w:r>
      <w:proofErr w:type="spellStart"/>
      <w:r w:rsidRPr="005A62D0">
        <w:rPr>
          <w:color w:val="000000"/>
          <w:sz w:val="22"/>
          <w:szCs w:val="22"/>
          <w:lang w:val="en-US"/>
        </w:rPr>
        <w:t>Shekerbank</w:t>
      </w:r>
      <w:proofErr w:type="spellEnd"/>
      <w:r w:rsidRPr="005A62D0">
        <w:rPr>
          <w:color w:val="000000"/>
          <w:sz w:val="22"/>
          <w:szCs w:val="22"/>
          <w:lang w:val="en-US"/>
        </w:rPr>
        <w:t>;</w:t>
      </w:r>
    </w:p>
    <w:p w:rsidR="005A62D0" w:rsidRPr="005A62D0"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4) The Fund provided tranches </w:t>
      </w:r>
      <w:r w:rsidR="000820BB">
        <w:rPr>
          <w:color w:val="000000"/>
          <w:sz w:val="22"/>
          <w:szCs w:val="22"/>
          <w:lang w:val="en-US"/>
        </w:rPr>
        <w:t xml:space="preserve">to </w:t>
      </w:r>
      <w:r w:rsidRPr="005A62D0">
        <w:rPr>
          <w:color w:val="000000"/>
          <w:sz w:val="22"/>
          <w:szCs w:val="22"/>
          <w:lang w:val="en-US"/>
        </w:rPr>
        <w:t xml:space="preserve">Kazakhmys Finance PLC in the amount of </w:t>
      </w:r>
      <w:r w:rsidR="000820BB">
        <w:rPr>
          <w:color w:val="000000"/>
          <w:sz w:val="22"/>
          <w:szCs w:val="22"/>
          <w:lang w:val="en-US"/>
        </w:rPr>
        <w:t>USD</w:t>
      </w:r>
      <w:r w:rsidRPr="005A62D0">
        <w:rPr>
          <w:color w:val="000000"/>
          <w:sz w:val="22"/>
          <w:szCs w:val="22"/>
          <w:lang w:val="en-US"/>
        </w:rPr>
        <w:t xml:space="preserve"> 400 million (equivalent </w:t>
      </w:r>
      <w:r w:rsidR="000820BB">
        <w:rPr>
          <w:color w:val="000000"/>
          <w:sz w:val="22"/>
          <w:szCs w:val="22"/>
          <w:lang w:val="en-US"/>
        </w:rPr>
        <w:t>of KZT 59.</w:t>
      </w:r>
      <w:r w:rsidRPr="005A62D0">
        <w:rPr>
          <w:color w:val="000000"/>
          <w:sz w:val="22"/>
          <w:szCs w:val="22"/>
          <w:lang w:val="en-US"/>
        </w:rPr>
        <w:t xml:space="preserve">768 million as the exchange rate on June 30, 2012) with a maturity of 15 years for the development of the </w:t>
      </w:r>
      <w:proofErr w:type="spellStart"/>
      <w:r w:rsidR="000820BB" w:rsidRPr="005A62D0">
        <w:rPr>
          <w:color w:val="000000"/>
          <w:sz w:val="22"/>
          <w:szCs w:val="22"/>
          <w:lang w:val="en-US"/>
        </w:rPr>
        <w:t>Bozshakol</w:t>
      </w:r>
      <w:proofErr w:type="spellEnd"/>
      <w:r w:rsidR="000820BB" w:rsidRPr="005A62D0">
        <w:rPr>
          <w:color w:val="000000"/>
          <w:sz w:val="22"/>
          <w:szCs w:val="22"/>
          <w:lang w:val="en-US"/>
        </w:rPr>
        <w:t xml:space="preserve"> </w:t>
      </w:r>
      <w:r w:rsidRPr="005A62D0">
        <w:rPr>
          <w:color w:val="000000"/>
          <w:sz w:val="22"/>
          <w:szCs w:val="22"/>
          <w:lang w:val="en-US"/>
        </w:rPr>
        <w:t>copper</w:t>
      </w:r>
      <w:r w:rsidR="000820BB">
        <w:rPr>
          <w:color w:val="000000"/>
          <w:sz w:val="22"/>
          <w:szCs w:val="22"/>
          <w:lang w:val="en-US"/>
        </w:rPr>
        <w:t xml:space="preserve"> deposit</w:t>
      </w:r>
      <w:r w:rsidRPr="005A62D0">
        <w:rPr>
          <w:color w:val="000000"/>
          <w:sz w:val="22"/>
          <w:szCs w:val="22"/>
          <w:lang w:val="en-US"/>
        </w:rPr>
        <w:t>. Funding for this loan was made from the funds received under the credit line of the State Development Bank of China;</w:t>
      </w:r>
    </w:p>
    <w:p w:rsidR="005A62D0" w:rsidRPr="005A62D0"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5) As part of the </w:t>
      </w:r>
      <w:r w:rsidR="000820BB">
        <w:rPr>
          <w:color w:val="000000"/>
          <w:sz w:val="22"/>
          <w:szCs w:val="22"/>
          <w:lang w:val="en-US"/>
        </w:rPr>
        <w:t xml:space="preserve">Stabilization </w:t>
      </w:r>
      <w:r w:rsidR="000820BB" w:rsidRPr="005A62D0">
        <w:rPr>
          <w:color w:val="000000"/>
          <w:sz w:val="22"/>
          <w:szCs w:val="22"/>
          <w:lang w:val="en-US"/>
        </w:rPr>
        <w:t xml:space="preserve">Plan </w:t>
      </w:r>
      <w:r w:rsidR="000820BB">
        <w:rPr>
          <w:color w:val="000000"/>
          <w:sz w:val="22"/>
          <w:szCs w:val="22"/>
          <w:lang w:val="en-US"/>
        </w:rPr>
        <w:t>in the first half of 2012</w:t>
      </w:r>
      <w:r w:rsidRPr="005A62D0">
        <w:rPr>
          <w:color w:val="000000"/>
          <w:sz w:val="22"/>
          <w:szCs w:val="22"/>
          <w:lang w:val="en-US"/>
        </w:rPr>
        <w:t xml:space="preserve"> the Fund provided an additional tranche </w:t>
      </w:r>
      <w:r w:rsidR="000820BB">
        <w:rPr>
          <w:color w:val="000000"/>
          <w:sz w:val="22"/>
          <w:szCs w:val="22"/>
          <w:lang w:val="en-US"/>
        </w:rPr>
        <w:t>to JSC “Real Estate Fund</w:t>
      </w:r>
      <w:r w:rsidRPr="005A62D0">
        <w:rPr>
          <w:color w:val="000000"/>
          <w:sz w:val="22"/>
          <w:szCs w:val="22"/>
          <w:lang w:val="en-US"/>
        </w:rPr>
        <w:t xml:space="preserve"> </w:t>
      </w:r>
      <w:r w:rsidR="000820BB">
        <w:rPr>
          <w:color w:val="000000"/>
          <w:sz w:val="22"/>
          <w:szCs w:val="22"/>
          <w:lang w:val="en-US"/>
        </w:rPr>
        <w:t>“</w:t>
      </w:r>
      <w:r w:rsidRPr="005A62D0">
        <w:rPr>
          <w:color w:val="000000"/>
          <w:sz w:val="22"/>
          <w:szCs w:val="22"/>
          <w:lang w:val="en-US"/>
        </w:rPr>
        <w:t>Samruk-Kazyna</w:t>
      </w:r>
      <w:r w:rsidR="000820BB">
        <w:rPr>
          <w:color w:val="000000"/>
          <w:sz w:val="22"/>
          <w:szCs w:val="22"/>
          <w:lang w:val="en-US"/>
        </w:rPr>
        <w:t>”</w:t>
      </w:r>
      <w:r w:rsidRPr="005A62D0">
        <w:rPr>
          <w:color w:val="000000"/>
          <w:sz w:val="22"/>
          <w:szCs w:val="22"/>
          <w:lang w:val="en-US"/>
        </w:rPr>
        <w:t xml:space="preserve"> </w:t>
      </w:r>
      <w:r w:rsidR="000820BB">
        <w:rPr>
          <w:color w:val="000000"/>
          <w:sz w:val="22"/>
          <w:szCs w:val="22"/>
          <w:lang w:val="en-US"/>
        </w:rPr>
        <w:t>i</w:t>
      </w:r>
      <w:r w:rsidRPr="005A62D0">
        <w:rPr>
          <w:color w:val="000000"/>
          <w:sz w:val="22"/>
          <w:szCs w:val="22"/>
          <w:lang w:val="en-US"/>
        </w:rPr>
        <w:t xml:space="preserve">n the amount of </w:t>
      </w:r>
      <w:r w:rsidR="000820BB">
        <w:rPr>
          <w:color w:val="000000"/>
          <w:sz w:val="22"/>
          <w:szCs w:val="22"/>
          <w:lang w:val="en-US"/>
        </w:rPr>
        <w:t xml:space="preserve">KZT </w:t>
      </w:r>
      <w:r w:rsidRPr="005A62D0">
        <w:rPr>
          <w:color w:val="000000"/>
          <w:sz w:val="22"/>
          <w:szCs w:val="22"/>
          <w:lang w:val="en-US"/>
        </w:rPr>
        <w:t xml:space="preserve">11.32 billion for the purchase of dwellings in housing projects under construction </w:t>
      </w:r>
      <w:r w:rsidR="000820BB">
        <w:rPr>
          <w:color w:val="000000"/>
          <w:sz w:val="22"/>
          <w:szCs w:val="22"/>
          <w:lang w:val="en-US"/>
        </w:rPr>
        <w:t>at</w:t>
      </w:r>
      <w:r w:rsidRPr="005A62D0">
        <w:rPr>
          <w:color w:val="000000"/>
          <w:sz w:val="22"/>
          <w:szCs w:val="22"/>
          <w:lang w:val="en-US"/>
        </w:rPr>
        <w:t xml:space="preserve"> a</w:t>
      </w:r>
      <w:r w:rsidR="000820BB">
        <w:rPr>
          <w:color w:val="000000"/>
          <w:sz w:val="22"/>
          <w:szCs w:val="22"/>
          <w:lang w:val="en-US"/>
        </w:rPr>
        <w:t>n</w:t>
      </w:r>
      <w:r w:rsidRPr="005A62D0">
        <w:rPr>
          <w:color w:val="000000"/>
          <w:sz w:val="22"/>
          <w:szCs w:val="22"/>
          <w:lang w:val="en-US"/>
        </w:rPr>
        <w:t xml:space="preserve"> </w:t>
      </w:r>
      <w:r w:rsidR="000820BB" w:rsidRPr="005A62D0">
        <w:rPr>
          <w:color w:val="000000"/>
          <w:sz w:val="22"/>
          <w:szCs w:val="22"/>
          <w:lang w:val="en-US"/>
        </w:rPr>
        <w:t xml:space="preserve">interest rate </w:t>
      </w:r>
      <w:r w:rsidRPr="005A62D0">
        <w:rPr>
          <w:color w:val="000000"/>
          <w:sz w:val="22"/>
          <w:szCs w:val="22"/>
          <w:lang w:val="en-US"/>
        </w:rPr>
        <w:t xml:space="preserve">below </w:t>
      </w:r>
      <w:r w:rsidR="000820BB">
        <w:rPr>
          <w:color w:val="000000"/>
          <w:sz w:val="22"/>
          <w:szCs w:val="22"/>
          <w:lang w:val="en-US"/>
        </w:rPr>
        <w:t xml:space="preserve">the </w:t>
      </w:r>
      <w:r w:rsidRPr="005A62D0">
        <w:rPr>
          <w:color w:val="000000"/>
          <w:sz w:val="22"/>
          <w:szCs w:val="22"/>
          <w:lang w:val="en-US"/>
        </w:rPr>
        <w:t>market</w:t>
      </w:r>
      <w:r w:rsidR="000820BB">
        <w:rPr>
          <w:color w:val="000000"/>
          <w:sz w:val="22"/>
          <w:szCs w:val="22"/>
          <w:lang w:val="en-US"/>
        </w:rPr>
        <w:t xml:space="preserve"> one</w:t>
      </w:r>
      <w:r w:rsidRPr="005A62D0">
        <w:rPr>
          <w:color w:val="000000"/>
          <w:sz w:val="22"/>
          <w:szCs w:val="22"/>
          <w:lang w:val="en-US"/>
        </w:rPr>
        <w:t>;</w:t>
      </w:r>
    </w:p>
    <w:p w:rsidR="005A62D0" w:rsidRPr="005A62D0"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6) The Fund entered into an agreement on the non-revolving credit line with JSC </w:t>
      </w:r>
      <w:r w:rsidR="000820BB">
        <w:rPr>
          <w:color w:val="000000"/>
          <w:sz w:val="22"/>
          <w:szCs w:val="22"/>
          <w:lang w:val="en-US"/>
        </w:rPr>
        <w:t>“</w:t>
      </w:r>
      <w:r w:rsidRPr="005A62D0">
        <w:rPr>
          <w:color w:val="000000"/>
          <w:sz w:val="22"/>
          <w:szCs w:val="22"/>
          <w:lang w:val="en-US"/>
        </w:rPr>
        <w:t>Real Estate Fund</w:t>
      </w:r>
      <w:r w:rsidR="000820BB">
        <w:rPr>
          <w:color w:val="000000"/>
          <w:sz w:val="22"/>
          <w:szCs w:val="22"/>
          <w:lang w:val="en-US"/>
        </w:rPr>
        <w:t xml:space="preserve"> “</w:t>
      </w:r>
      <w:r w:rsidRPr="005A62D0">
        <w:rPr>
          <w:color w:val="000000"/>
          <w:sz w:val="22"/>
          <w:szCs w:val="22"/>
          <w:lang w:val="en-US"/>
        </w:rPr>
        <w:t>Samruk-Kazyna</w:t>
      </w:r>
      <w:r w:rsidR="000820BB">
        <w:rPr>
          <w:color w:val="000000"/>
          <w:sz w:val="22"/>
          <w:szCs w:val="22"/>
          <w:lang w:val="en-US"/>
        </w:rPr>
        <w:t xml:space="preserve">” </w:t>
      </w:r>
      <w:r w:rsidRPr="005A62D0">
        <w:rPr>
          <w:color w:val="000000"/>
          <w:sz w:val="22"/>
          <w:szCs w:val="22"/>
          <w:lang w:val="en-US"/>
        </w:rPr>
        <w:t xml:space="preserve">according to which the Fund </w:t>
      </w:r>
      <w:r w:rsidR="000820BB">
        <w:rPr>
          <w:color w:val="000000"/>
          <w:sz w:val="22"/>
          <w:szCs w:val="22"/>
          <w:lang w:val="en-US"/>
        </w:rPr>
        <w:t>provided a loan of KZT</w:t>
      </w:r>
      <w:r w:rsidRPr="005A62D0">
        <w:rPr>
          <w:color w:val="000000"/>
          <w:sz w:val="22"/>
          <w:szCs w:val="22"/>
          <w:lang w:val="en-US"/>
        </w:rPr>
        <w:t xml:space="preserve"> 5 billion, with a maturity </w:t>
      </w:r>
      <w:r w:rsidR="000820BB">
        <w:rPr>
          <w:color w:val="000000"/>
          <w:sz w:val="22"/>
          <w:szCs w:val="22"/>
          <w:lang w:val="en-US"/>
        </w:rPr>
        <w:t>up to</w:t>
      </w:r>
      <w:r w:rsidRPr="005A62D0">
        <w:rPr>
          <w:color w:val="000000"/>
          <w:sz w:val="22"/>
          <w:szCs w:val="22"/>
          <w:lang w:val="en-US"/>
        </w:rPr>
        <w:t xml:space="preserve"> December 14, 2021 and the interest rate below the market</w:t>
      </w:r>
      <w:r w:rsidR="000820BB">
        <w:rPr>
          <w:color w:val="000000"/>
          <w:sz w:val="22"/>
          <w:szCs w:val="22"/>
          <w:lang w:val="en-US"/>
        </w:rPr>
        <w:t xml:space="preserve"> one</w:t>
      </w:r>
      <w:r w:rsidRPr="005A62D0">
        <w:rPr>
          <w:color w:val="000000"/>
          <w:sz w:val="22"/>
          <w:szCs w:val="22"/>
          <w:lang w:val="en-US"/>
        </w:rPr>
        <w:t xml:space="preserve"> for pilot projects in the cities of Astana and </w:t>
      </w:r>
      <w:proofErr w:type="spellStart"/>
      <w:r w:rsidRPr="005A62D0">
        <w:rPr>
          <w:color w:val="000000"/>
          <w:sz w:val="22"/>
          <w:szCs w:val="22"/>
          <w:lang w:val="en-US"/>
        </w:rPr>
        <w:t>Shymkent</w:t>
      </w:r>
      <w:proofErr w:type="spellEnd"/>
      <w:r w:rsidRPr="005A62D0">
        <w:rPr>
          <w:color w:val="000000"/>
          <w:sz w:val="22"/>
          <w:szCs w:val="22"/>
          <w:lang w:val="en-US"/>
        </w:rPr>
        <w:t xml:space="preserve"> </w:t>
      </w:r>
      <w:r w:rsidR="000820BB">
        <w:rPr>
          <w:color w:val="000000"/>
          <w:sz w:val="22"/>
          <w:szCs w:val="22"/>
          <w:lang w:val="en-US"/>
        </w:rPr>
        <w:t>under</w:t>
      </w:r>
      <w:r w:rsidRPr="005A62D0">
        <w:rPr>
          <w:color w:val="000000"/>
          <w:sz w:val="22"/>
          <w:szCs w:val="22"/>
          <w:lang w:val="en-US"/>
        </w:rPr>
        <w:t xml:space="preserve"> the housing program 2011 </w:t>
      </w:r>
      <w:r w:rsidR="000820BB">
        <w:rPr>
          <w:color w:val="000000"/>
          <w:sz w:val="22"/>
          <w:szCs w:val="22"/>
          <w:lang w:val="en-US"/>
        </w:rPr>
        <w:t>-</w:t>
      </w:r>
      <w:r w:rsidRPr="005A62D0">
        <w:rPr>
          <w:color w:val="000000"/>
          <w:sz w:val="22"/>
          <w:szCs w:val="22"/>
          <w:lang w:val="en-US"/>
        </w:rPr>
        <w:t xml:space="preserve"> 2015;</w:t>
      </w:r>
    </w:p>
    <w:p w:rsidR="002664E4" w:rsidRDefault="005A62D0" w:rsidP="005A62D0">
      <w:pPr>
        <w:tabs>
          <w:tab w:val="left" w:pos="284"/>
        </w:tabs>
        <w:ind w:left="-567" w:firstLine="567"/>
        <w:jc w:val="both"/>
        <w:rPr>
          <w:color w:val="000000"/>
          <w:sz w:val="22"/>
          <w:szCs w:val="22"/>
          <w:lang w:val="en-US"/>
        </w:rPr>
      </w:pPr>
      <w:r w:rsidRPr="005A62D0">
        <w:rPr>
          <w:color w:val="000000"/>
          <w:sz w:val="22"/>
          <w:szCs w:val="22"/>
          <w:lang w:val="en-US"/>
        </w:rPr>
        <w:t xml:space="preserve">7) The Fund entered into a loan agreement with JSC </w:t>
      </w:r>
      <w:r w:rsidR="000820BB">
        <w:rPr>
          <w:color w:val="000000"/>
          <w:sz w:val="22"/>
          <w:szCs w:val="22"/>
          <w:lang w:val="en-US"/>
        </w:rPr>
        <w:t>“National Company</w:t>
      </w:r>
      <w:r w:rsidRPr="005A62D0">
        <w:rPr>
          <w:color w:val="000000"/>
          <w:sz w:val="22"/>
          <w:szCs w:val="22"/>
          <w:lang w:val="en-US"/>
        </w:rPr>
        <w:t xml:space="preserve"> </w:t>
      </w:r>
      <w:r w:rsidR="000820BB">
        <w:rPr>
          <w:color w:val="000000"/>
          <w:sz w:val="22"/>
          <w:szCs w:val="22"/>
          <w:lang w:val="en-US"/>
        </w:rPr>
        <w:t>“</w:t>
      </w:r>
      <w:r w:rsidRPr="005A62D0">
        <w:rPr>
          <w:color w:val="000000"/>
          <w:sz w:val="22"/>
          <w:szCs w:val="22"/>
          <w:lang w:val="en-US"/>
        </w:rPr>
        <w:t>Kazakhstan Engineering</w:t>
      </w:r>
      <w:r w:rsidR="000820BB">
        <w:rPr>
          <w:color w:val="000000"/>
          <w:sz w:val="22"/>
          <w:szCs w:val="22"/>
          <w:lang w:val="en-US"/>
        </w:rPr>
        <w:t xml:space="preserve">” </w:t>
      </w:r>
      <w:r w:rsidRPr="005A62D0">
        <w:rPr>
          <w:color w:val="000000"/>
          <w:sz w:val="22"/>
          <w:szCs w:val="22"/>
          <w:lang w:val="en-US"/>
        </w:rPr>
        <w:t xml:space="preserve">in accordance with which the Fund </w:t>
      </w:r>
      <w:r w:rsidR="000820BB">
        <w:rPr>
          <w:color w:val="000000"/>
          <w:sz w:val="22"/>
          <w:szCs w:val="22"/>
          <w:lang w:val="en-US"/>
        </w:rPr>
        <w:t>provided a loan of KZT</w:t>
      </w:r>
      <w:r w:rsidRPr="005A62D0">
        <w:rPr>
          <w:color w:val="000000"/>
          <w:sz w:val="22"/>
          <w:szCs w:val="22"/>
          <w:lang w:val="en-US"/>
        </w:rPr>
        <w:t xml:space="preserve"> 5 billion, with a maturity </w:t>
      </w:r>
      <w:r w:rsidR="000820BB">
        <w:rPr>
          <w:color w:val="000000"/>
          <w:sz w:val="22"/>
          <w:szCs w:val="22"/>
          <w:lang w:val="en-US"/>
        </w:rPr>
        <w:t>up to</w:t>
      </w:r>
      <w:r w:rsidRPr="005A62D0">
        <w:rPr>
          <w:color w:val="000000"/>
          <w:sz w:val="22"/>
          <w:szCs w:val="22"/>
          <w:lang w:val="en-US"/>
        </w:rPr>
        <w:t xml:space="preserve"> December 30, 2013 and the interest rate below the market</w:t>
      </w:r>
      <w:r w:rsidR="000820BB">
        <w:rPr>
          <w:color w:val="000000"/>
          <w:sz w:val="22"/>
          <w:szCs w:val="22"/>
          <w:lang w:val="en-US"/>
        </w:rPr>
        <w:t xml:space="preserve"> one</w:t>
      </w:r>
      <w:r w:rsidRPr="005A62D0">
        <w:rPr>
          <w:color w:val="000000"/>
          <w:sz w:val="22"/>
          <w:szCs w:val="22"/>
          <w:lang w:val="en-US"/>
        </w:rPr>
        <w:t>, to create a center f</w:t>
      </w:r>
      <w:r w:rsidR="000820BB">
        <w:rPr>
          <w:color w:val="000000"/>
          <w:sz w:val="22"/>
          <w:szCs w:val="22"/>
          <w:lang w:val="en-US"/>
        </w:rPr>
        <w:t xml:space="preserve">or the production of </w:t>
      </w:r>
      <w:proofErr w:type="spellStart"/>
      <w:r w:rsidR="000820BB">
        <w:rPr>
          <w:color w:val="000000"/>
          <w:sz w:val="22"/>
          <w:szCs w:val="22"/>
          <w:lang w:val="en-US"/>
        </w:rPr>
        <w:t>electrooptic</w:t>
      </w:r>
      <w:proofErr w:type="spellEnd"/>
      <w:r w:rsidRPr="005A62D0">
        <w:rPr>
          <w:color w:val="000000"/>
          <w:sz w:val="22"/>
          <w:szCs w:val="22"/>
          <w:lang w:val="en-US"/>
        </w:rPr>
        <w:t xml:space="preserve"> instruments and own production </w:t>
      </w:r>
      <w:r w:rsidR="000820BB">
        <w:rPr>
          <w:color w:val="000000"/>
          <w:sz w:val="22"/>
          <w:szCs w:val="22"/>
          <w:lang w:val="en-US"/>
        </w:rPr>
        <w:t xml:space="preserve">on </w:t>
      </w:r>
      <w:r w:rsidRPr="005A62D0">
        <w:rPr>
          <w:color w:val="000000"/>
          <w:sz w:val="22"/>
          <w:szCs w:val="22"/>
          <w:lang w:val="en-US"/>
        </w:rPr>
        <w:t xml:space="preserve">modernization, engineering maintenance, repair </w:t>
      </w:r>
      <w:r w:rsidR="000820BB">
        <w:rPr>
          <w:color w:val="000000"/>
          <w:sz w:val="22"/>
          <w:szCs w:val="22"/>
          <w:lang w:val="en-US"/>
        </w:rPr>
        <w:t>of armored vehicles based on “</w:t>
      </w:r>
      <w:proofErr w:type="spellStart"/>
      <w:r w:rsidRPr="005A62D0">
        <w:rPr>
          <w:color w:val="000000"/>
          <w:sz w:val="22"/>
          <w:szCs w:val="22"/>
          <w:lang w:val="en-US"/>
        </w:rPr>
        <w:t>Semey</w:t>
      </w:r>
      <w:proofErr w:type="spellEnd"/>
      <w:r w:rsidRPr="005A62D0">
        <w:rPr>
          <w:color w:val="000000"/>
          <w:sz w:val="22"/>
          <w:szCs w:val="22"/>
          <w:lang w:val="en-US"/>
        </w:rPr>
        <w:t xml:space="preserve"> Engineering</w:t>
      </w:r>
      <w:r w:rsidR="000820BB">
        <w:rPr>
          <w:color w:val="000000"/>
          <w:sz w:val="22"/>
          <w:szCs w:val="22"/>
          <w:lang w:val="en-US"/>
        </w:rPr>
        <w:t>” JSC</w:t>
      </w:r>
      <w:r w:rsidR="002664E4" w:rsidRPr="00BB6475">
        <w:rPr>
          <w:color w:val="000000"/>
          <w:sz w:val="22"/>
          <w:szCs w:val="22"/>
          <w:lang w:val="en-US"/>
        </w:rPr>
        <w:t>.</w:t>
      </w:r>
    </w:p>
    <w:p w:rsidR="002664E4" w:rsidRPr="00BB6475" w:rsidRDefault="0009485B" w:rsidP="002664E4">
      <w:pPr>
        <w:tabs>
          <w:tab w:val="left" w:pos="284"/>
        </w:tabs>
        <w:ind w:left="-567" w:firstLine="567"/>
        <w:jc w:val="both"/>
        <w:rPr>
          <w:color w:val="000000"/>
          <w:sz w:val="22"/>
          <w:szCs w:val="22"/>
          <w:lang w:val="en-US"/>
        </w:rPr>
      </w:pPr>
      <w:r w:rsidRPr="0009485B">
        <w:rPr>
          <w:b/>
          <w:sz w:val="22"/>
          <w:szCs w:val="22"/>
          <w:lang w:val="en-US"/>
        </w:rPr>
        <w:t>“</w:t>
      </w:r>
      <w:r w:rsidRPr="0009485B">
        <w:rPr>
          <w:b/>
          <w:sz w:val="22"/>
          <w:szCs w:val="22"/>
          <w:lang w:val="kk-KZ"/>
        </w:rPr>
        <w:t>S</w:t>
      </w:r>
      <w:proofErr w:type="spellStart"/>
      <w:r w:rsidRPr="0009485B">
        <w:rPr>
          <w:b/>
          <w:sz w:val="22"/>
          <w:szCs w:val="22"/>
          <w:lang w:val="en-US"/>
        </w:rPr>
        <w:t>amruk</w:t>
      </w:r>
      <w:proofErr w:type="spellEnd"/>
      <w:r w:rsidRPr="0009485B">
        <w:rPr>
          <w:b/>
          <w:sz w:val="22"/>
          <w:szCs w:val="22"/>
          <w:lang w:val="en-US"/>
        </w:rPr>
        <w:t>-</w:t>
      </w:r>
      <w:r w:rsidRPr="0009485B">
        <w:rPr>
          <w:b/>
          <w:sz w:val="22"/>
          <w:szCs w:val="22"/>
          <w:lang w:val="kk-KZ"/>
        </w:rPr>
        <w:t>K</w:t>
      </w:r>
      <w:proofErr w:type="spellStart"/>
      <w:r w:rsidRPr="0009485B">
        <w:rPr>
          <w:b/>
          <w:sz w:val="22"/>
          <w:szCs w:val="22"/>
          <w:lang w:val="en-US"/>
        </w:rPr>
        <w:t>azyna</w:t>
      </w:r>
      <w:proofErr w:type="spellEnd"/>
      <w:r w:rsidRPr="0009485B">
        <w:rPr>
          <w:b/>
          <w:sz w:val="22"/>
          <w:szCs w:val="22"/>
          <w:lang w:val="kk-KZ"/>
        </w:rPr>
        <w:t xml:space="preserve"> Finance</w:t>
      </w:r>
      <w:r w:rsidRPr="0009485B">
        <w:rPr>
          <w:b/>
          <w:sz w:val="22"/>
          <w:szCs w:val="22"/>
          <w:lang w:val="en-US"/>
        </w:rPr>
        <w:t>” LLP</w:t>
      </w:r>
      <w:r>
        <w:rPr>
          <w:b/>
          <w:color w:val="000000"/>
          <w:sz w:val="22"/>
          <w:szCs w:val="22"/>
          <w:lang w:val="en-US"/>
        </w:rPr>
        <w:t xml:space="preserve"> </w:t>
      </w:r>
      <w:r w:rsidRPr="0009485B">
        <w:rPr>
          <w:color w:val="000000"/>
          <w:sz w:val="22"/>
          <w:szCs w:val="22"/>
          <w:lang w:val="en-US"/>
        </w:rPr>
        <w:t xml:space="preserve">(hereinafter - </w:t>
      </w:r>
      <w:r w:rsidR="002664E4" w:rsidRPr="0009485B">
        <w:rPr>
          <w:color w:val="000000"/>
          <w:sz w:val="22"/>
          <w:szCs w:val="22"/>
          <w:lang w:val="en-US"/>
        </w:rPr>
        <w:t>SK-Finance</w:t>
      </w:r>
      <w:r w:rsidRPr="0009485B">
        <w:rPr>
          <w:color w:val="000000"/>
          <w:sz w:val="22"/>
          <w:szCs w:val="22"/>
          <w:lang w:val="en-US"/>
        </w:rPr>
        <w:t>)</w:t>
      </w:r>
      <w:r w:rsidR="002664E4" w:rsidRPr="00BB6475">
        <w:rPr>
          <w:color w:val="000000"/>
          <w:sz w:val="22"/>
          <w:szCs w:val="22"/>
          <w:lang w:val="en-US"/>
        </w:rPr>
        <w:t xml:space="preserve"> </w:t>
      </w:r>
      <w:r w:rsidR="002664E4">
        <w:rPr>
          <w:color w:val="000000"/>
          <w:sz w:val="22"/>
          <w:szCs w:val="22"/>
          <w:lang w:val="en-US"/>
        </w:rPr>
        <w:t xml:space="preserve">was </w:t>
      </w:r>
      <w:r w:rsidR="002664E4" w:rsidRPr="00BB6475">
        <w:rPr>
          <w:color w:val="000000"/>
          <w:sz w:val="22"/>
          <w:szCs w:val="22"/>
          <w:lang w:val="en-US"/>
        </w:rPr>
        <w:t xml:space="preserve">established in May 2011 with </w:t>
      </w:r>
      <w:r>
        <w:rPr>
          <w:color w:val="000000"/>
          <w:sz w:val="22"/>
          <w:szCs w:val="22"/>
          <w:lang w:val="en-US"/>
        </w:rPr>
        <w:t>100%</w:t>
      </w:r>
      <w:r w:rsidR="002664E4" w:rsidRPr="00BB6475">
        <w:rPr>
          <w:color w:val="000000"/>
          <w:sz w:val="22"/>
          <w:szCs w:val="22"/>
          <w:lang w:val="en-US"/>
        </w:rPr>
        <w:t xml:space="preserve"> participation of the Fund to implement the functions of the Fund </w:t>
      </w:r>
      <w:r w:rsidR="002664E4">
        <w:rPr>
          <w:color w:val="000000"/>
          <w:sz w:val="22"/>
          <w:szCs w:val="22"/>
          <w:lang w:val="en-US"/>
        </w:rPr>
        <w:t xml:space="preserve">as the operator </w:t>
      </w:r>
      <w:r w:rsidR="002664E4" w:rsidRPr="00BB6475">
        <w:rPr>
          <w:color w:val="000000"/>
          <w:sz w:val="22"/>
          <w:szCs w:val="22"/>
          <w:lang w:val="en-US"/>
        </w:rPr>
        <w:t>of state programs in the banking sector.</w:t>
      </w:r>
    </w:p>
    <w:p w:rsidR="002664E4" w:rsidRPr="00BB6475" w:rsidRDefault="002664E4" w:rsidP="002664E4">
      <w:pPr>
        <w:tabs>
          <w:tab w:val="left" w:pos="284"/>
        </w:tabs>
        <w:ind w:left="-567" w:firstLine="567"/>
        <w:jc w:val="both"/>
        <w:rPr>
          <w:color w:val="000000"/>
          <w:sz w:val="22"/>
          <w:szCs w:val="22"/>
          <w:lang w:val="en-US"/>
        </w:rPr>
      </w:pPr>
      <w:r w:rsidRPr="00BB6475">
        <w:rPr>
          <w:color w:val="000000"/>
          <w:sz w:val="22"/>
          <w:szCs w:val="22"/>
          <w:lang w:val="en-US"/>
        </w:rPr>
        <w:t xml:space="preserve">Main activities </w:t>
      </w:r>
      <w:r>
        <w:rPr>
          <w:color w:val="000000"/>
          <w:sz w:val="22"/>
          <w:szCs w:val="22"/>
          <w:lang w:val="en-US"/>
        </w:rPr>
        <w:t xml:space="preserve">of </w:t>
      </w:r>
      <w:r w:rsidRPr="00BB6475">
        <w:rPr>
          <w:color w:val="000000"/>
          <w:sz w:val="22"/>
          <w:szCs w:val="22"/>
          <w:lang w:val="en-US"/>
        </w:rPr>
        <w:t xml:space="preserve">Samruk-Kazyna Finance </w:t>
      </w:r>
      <w:r>
        <w:rPr>
          <w:color w:val="000000"/>
          <w:sz w:val="22"/>
          <w:szCs w:val="22"/>
          <w:lang w:val="en-US"/>
        </w:rPr>
        <w:t>–</w:t>
      </w:r>
      <w:r w:rsidRPr="00BB6475">
        <w:rPr>
          <w:color w:val="000000"/>
          <w:sz w:val="22"/>
          <w:szCs w:val="22"/>
          <w:lang w:val="en-US"/>
        </w:rPr>
        <w:t xml:space="preserve"> </w:t>
      </w:r>
      <w:r>
        <w:rPr>
          <w:color w:val="000000"/>
          <w:sz w:val="22"/>
          <w:szCs w:val="22"/>
          <w:lang w:val="en-US"/>
        </w:rPr>
        <w:t xml:space="preserve">to </w:t>
      </w:r>
      <w:r w:rsidRPr="00BB6475">
        <w:rPr>
          <w:color w:val="000000"/>
          <w:sz w:val="22"/>
          <w:szCs w:val="22"/>
          <w:lang w:val="en-US"/>
        </w:rPr>
        <w:t>provid</w:t>
      </w:r>
      <w:r>
        <w:rPr>
          <w:color w:val="000000"/>
          <w:sz w:val="22"/>
          <w:szCs w:val="22"/>
          <w:lang w:val="en-US"/>
        </w:rPr>
        <w:t>e</w:t>
      </w:r>
      <w:r w:rsidRPr="00BB6475">
        <w:rPr>
          <w:color w:val="000000"/>
          <w:sz w:val="22"/>
          <w:szCs w:val="22"/>
          <w:lang w:val="en-US"/>
        </w:rPr>
        <w:t xml:space="preserve"> management consulting services and training to the sale of shares and stakes in financial institut</w:t>
      </w:r>
      <w:r>
        <w:rPr>
          <w:color w:val="000000"/>
          <w:sz w:val="22"/>
          <w:szCs w:val="22"/>
          <w:lang w:val="en-US"/>
        </w:rPr>
        <w:t>e</w:t>
      </w:r>
      <w:r w:rsidRPr="00BB6475">
        <w:rPr>
          <w:color w:val="000000"/>
          <w:sz w:val="22"/>
          <w:szCs w:val="22"/>
          <w:lang w:val="en-US"/>
        </w:rPr>
        <w:t>s that are directly or indirectly owned by the Fund.</w:t>
      </w:r>
      <w:r w:rsidR="008132D3">
        <w:rPr>
          <w:color w:val="000000"/>
          <w:sz w:val="22"/>
          <w:szCs w:val="22"/>
          <w:lang w:val="en-US"/>
        </w:rPr>
        <w:t xml:space="preserve"> </w:t>
      </w:r>
      <w:r w:rsidR="008132D3" w:rsidRPr="008132D3">
        <w:rPr>
          <w:color w:val="000000"/>
          <w:sz w:val="22"/>
          <w:szCs w:val="22"/>
          <w:lang w:val="en-US"/>
        </w:rPr>
        <w:t xml:space="preserve">The main strategic objective of </w:t>
      </w:r>
      <w:r w:rsidR="008132D3" w:rsidRPr="0009485B">
        <w:rPr>
          <w:color w:val="000000"/>
          <w:sz w:val="22"/>
          <w:szCs w:val="22"/>
          <w:lang w:val="en-US"/>
        </w:rPr>
        <w:t>SK-Finance</w:t>
      </w:r>
      <w:r w:rsidR="008132D3" w:rsidRPr="008132D3">
        <w:rPr>
          <w:color w:val="000000"/>
          <w:sz w:val="22"/>
          <w:szCs w:val="22"/>
          <w:lang w:val="en-US"/>
        </w:rPr>
        <w:t xml:space="preserve"> </w:t>
      </w:r>
      <w:r w:rsidR="008132D3">
        <w:rPr>
          <w:color w:val="000000"/>
          <w:sz w:val="22"/>
          <w:szCs w:val="22"/>
          <w:lang w:val="en-US"/>
        </w:rPr>
        <w:t>is</w:t>
      </w:r>
      <w:r w:rsidR="008132D3" w:rsidRPr="008132D3">
        <w:rPr>
          <w:color w:val="000000"/>
          <w:sz w:val="22"/>
          <w:szCs w:val="22"/>
          <w:lang w:val="en-US"/>
        </w:rPr>
        <w:t xml:space="preserve"> </w:t>
      </w:r>
      <w:r w:rsidR="008132D3">
        <w:rPr>
          <w:color w:val="000000"/>
          <w:sz w:val="22"/>
          <w:szCs w:val="22"/>
          <w:lang w:val="en-US"/>
        </w:rPr>
        <w:t xml:space="preserve">to </w:t>
      </w:r>
      <w:r w:rsidR="008132D3" w:rsidRPr="008132D3">
        <w:rPr>
          <w:color w:val="000000"/>
          <w:sz w:val="22"/>
          <w:szCs w:val="22"/>
          <w:lang w:val="en-US"/>
        </w:rPr>
        <w:t>achieve efficie</w:t>
      </w:r>
      <w:r w:rsidR="008132D3">
        <w:rPr>
          <w:color w:val="000000"/>
          <w:sz w:val="22"/>
          <w:szCs w:val="22"/>
          <w:lang w:val="en-US"/>
        </w:rPr>
        <w:t>nt management of the Fund’</w:t>
      </w:r>
      <w:r w:rsidR="008132D3" w:rsidRPr="008132D3">
        <w:rPr>
          <w:color w:val="000000"/>
          <w:sz w:val="22"/>
          <w:szCs w:val="22"/>
          <w:lang w:val="en-US"/>
        </w:rPr>
        <w:t xml:space="preserve">s financial assets in financial institutions, </w:t>
      </w:r>
      <w:r w:rsidR="008132D3">
        <w:rPr>
          <w:color w:val="000000"/>
          <w:sz w:val="22"/>
          <w:szCs w:val="22"/>
          <w:lang w:val="en-US"/>
        </w:rPr>
        <w:t>to develop</w:t>
      </w:r>
      <w:r w:rsidR="008132D3" w:rsidRPr="008132D3">
        <w:rPr>
          <w:color w:val="000000"/>
          <w:sz w:val="22"/>
          <w:szCs w:val="22"/>
          <w:lang w:val="en-US"/>
        </w:rPr>
        <w:t xml:space="preserve"> an exit strategy and </w:t>
      </w:r>
      <w:r w:rsidR="008132D3">
        <w:rPr>
          <w:color w:val="000000"/>
          <w:sz w:val="22"/>
          <w:szCs w:val="22"/>
          <w:lang w:val="en-US"/>
        </w:rPr>
        <w:t xml:space="preserve">to </w:t>
      </w:r>
      <w:r w:rsidR="008132D3" w:rsidRPr="008132D3">
        <w:rPr>
          <w:color w:val="000000"/>
          <w:sz w:val="22"/>
          <w:szCs w:val="22"/>
          <w:lang w:val="en-US"/>
        </w:rPr>
        <w:t>prepar</w:t>
      </w:r>
      <w:r w:rsidR="008132D3">
        <w:rPr>
          <w:color w:val="000000"/>
          <w:sz w:val="22"/>
          <w:szCs w:val="22"/>
          <w:lang w:val="en-US"/>
        </w:rPr>
        <w:t>e</w:t>
      </w:r>
      <w:r w:rsidR="008132D3" w:rsidRPr="008132D3">
        <w:rPr>
          <w:color w:val="000000"/>
          <w:sz w:val="22"/>
          <w:szCs w:val="22"/>
          <w:lang w:val="en-US"/>
        </w:rPr>
        <w:t xml:space="preserve"> the assets of the Fund </w:t>
      </w:r>
      <w:r w:rsidR="008132D3">
        <w:rPr>
          <w:color w:val="000000"/>
          <w:sz w:val="22"/>
          <w:szCs w:val="22"/>
          <w:lang w:val="en-US"/>
        </w:rPr>
        <w:t>for sale, ensuring</w:t>
      </w:r>
      <w:r w:rsidR="008132D3" w:rsidRPr="008132D3">
        <w:rPr>
          <w:color w:val="000000"/>
          <w:sz w:val="22"/>
          <w:szCs w:val="22"/>
          <w:lang w:val="en-US"/>
        </w:rPr>
        <w:t xml:space="preserve"> favorable conditions for it. The objectives of the </w:t>
      </w:r>
      <w:r w:rsidR="008132D3">
        <w:rPr>
          <w:color w:val="000000"/>
          <w:sz w:val="22"/>
          <w:szCs w:val="22"/>
          <w:lang w:val="en-US"/>
        </w:rPr>
        <w:t>Partnership</w:t>
      </w:r>
      <w:r w:rsidR="008132D3" w:rsidRPr="008132D3">
        <w:rPr>
          <w:color w:val="000000"/>
          <w:sz w:val="22"/>
          <w:szCs w:val="22"/>
          <w:lang w:val="en-US"/>
        </w:rPr>
        <w:t xml:space="preserve"> in 2012 </w:t>
      </w:r>
      <w:r w:rsidR="008132D3">
        <w:rPr>
          <w:color w:val="000000"/>
          <w:sz w:val="22"/>
          <w:szCs w:val="22"/>
          <w:lang w:val="en-US"/>
        </w:rPr>
        <w:t xml:space="preserve">are </w:t>
      </w:r>
      <w:r w:rsidR="008132D3" w:rsidRPr="008132D3">
        <w:rPr>
          <w:color w:val="000000"/>
          <w:sz w:val="22"/>
          <w:szCs w:val="22"/>
          <w:lang w:val="en-US"/>
        </w:rPr>
        <w:t>to coordinate the p</w:t>
      </w:r>
      <w:r w:rsidR="008132D3">
        <w:rPr>
          <w:color w:val="000000"/>
          <w:sz w:val="22"/>
          <w:szCs w:val="22"/>
          <w:lang w:val="en-US"/>
        </w:rPr>
        <w:t>rocess of restructuring in JSC “Astana Finance” and “BTA Bank” JSC, as well as the merger of JSC “Alliance Bank” JSC and “</w:t>
      </w:r>
      <w:proofErr w:type="spellStart"/>
      <w:r w:rsidR="008132D3" w:rsidRPr="008132D3">
        <w:rPr>
          <w:color w:val="000000"/>
          <w:sz w:val="22"/>
          <w:szCs w:val="22"/>
          <w:lang w:val="en-US"/>
        </w:rPr>
        <w:t>Temirbank</w:t>
      </w:r>
      <w:proofErr w:type="spellEnd"/>
      <w:r w:rsidR="008132D3">
        <w:rPr>
          <w:color w:val="000000"/>
          <w:sz w:val="22"/>
          <w:szCs w:val="22"/>
          <w:lang w:val="en-US"/>
        </w:rPr>
        <w:t>” JSC</w:t>
      </w:r>
      <w:r w:rsidR="008132D3" w:rsidRPr="008132D3">
        <w:rPr>
          <w:color w:val="000000"/>
          <w:sz w:val="22"/>
          <w:szCs w:val="22"/>
          <w:lang w:val="en-US"/>
        </w:rPr>
        <w:t>.</w:t>
      </w:r>
    </w:p>
    <w:p w:rsidR="002664E4" w:rsidRPr="00BB6475" w:rsidRDefault="0009485B" w:rsidP="002664E4">
      <w:pPr>
        <w:tabs>
          <w:tab w:val="left" w:pos="284"/>
        </w:tabs>
        <w:ind w:left="-567" w:firstLine="567"/>
        <w:jc w:val="both"/>
        <w:rPr>
          <w:color w:val="000000"/>
          <w:sz w:val="22"/>
          <w:szCs w:val="22"/>
          <w:lang w:val="en-US"/>
        </w:rPr>
      </w:pPr>
      <w:r w:rsidRPr="00DF1DA4">
        <w:rPr>
          <w:b/>
          <w:sz w:val="22"/>
          <w:szCs w:val="22"/>
          <w:lang w:val="en-US"/>
        </w:rPr>
        <w:t>“</w:t>
      </w:r>
      <w:r w:rsidRPr="00DF1DA4">
        <w:rPr>
          <w:b/>
          <w:sz w:val="22"/>
          <w:szCs w:val="22"/>
          <w:lang w:val="kk-KZ"/>
        </w:rPr>
        <w:t>S</w:t>
      </w:r>
      <w:proofErr w:type="spellStart"/>
      <w:r w:rsidRPr="00DF1DA4">
        <w:rPr>
          <w:b/>
          <w:sz w:val="22"/>
          <w:szCs w:val="22"/>
          <w:lang w:val="en-US"/>
        </w:rPr>
        <w:t>amruk</w:t>
      </w:r>
      <w:proofErr w:type="spellEnd"/>
      <w:r w:rsidRPr="00DF1DA4">
        <w:rPr>
          <w:b/>
          <w:sz w:val="22"/>
          <w:szCs w:val="22"/>
          <w:lang w:val="en-US"/>
        </w:rPr>
        <w:t>-</w:t>
      </w:r>
      <w:r w:rsidRPr="00DF1DA4">
        <w:rPr>
          <w:b/>
          <w:sz w:val="22"/>
          <w:szCs w:val="22"/>
          <w:lang w:val="kk-KZ"/>
        </w:rPr>
        <w:t>K</w:t>
      </w:r>
      <w:proofErr w:type="spellStart"/>
      <w:r w:rsidRPr="00DF1DA4">
        <w:rPr>
          <w:b/>
          <w:sz w:val="22"/>
          <w:szCs w:val="22"/>
          <w:lang w:val="en-US"/>
        </w:rPr>
        <w:t>azyna</w:t>
      </w:r>
      <w:proofErr w:type="spellEnd"/>
      <w:r w:rsidRPr="00DF1DA4">
        <w:rPr>
          <w:b/>
          <w:sz w:val="22"/>
          <w:szCs w:val="22"/>
          <w:lang w:val="kk-KZ"/>
        </w:rPr>
        <w:t xml:space="preserve"> Invest</w:t>
      </w:r>
      <w:r w:rsidRPr="00DF1DA4">
        <w:rPr>
          <w:b/>
          <w:sz w:val="22"/>
          <w:szCs w:val="22"/>
          <w:lang w:val="en-US"/>
        </w:rPr>
        <w:t>” LLP</w:t>
      </w:r>
      <w:r>
        <w:rPr>
          <w:b/>
          <w:color w:val="000000"/>
          <w:sz w:val="22"/>
          <w:szCs w:val="22"/>
          <w:lang w:val="en-US"/>
        </w:rPr>
        <w:t xml:space="preserve"> </w:t>
      </w:r>
      <w:r w:rsidR="00DF1DA4" w:rsidRPr="00DF1DA4">
        <w:rPr>
          <w:color w:val="000000"/>
          <w:sz w:val="22"/>
          <w:szCs w:val="22"/>
          <w:lang w:val="en-US"/>
        </w:rPr>
        <w:t xml:space="preserve">(hereinafter - </w:t>
      </w:r>
      <w:proofErr w:type="spellStart"/>
      <w:r w:rsidR="002664E4" w:rsidRPr="00DF1DA4">
        <w:rPr>
          <w:color w:val="000000"/>
          <w:sz w:val="22"/>
          <w:szCs w:val="22"/>
          <w:lang w:val="en-US"/>
        </w:rPr>
        <w:t>Samruk-Kazyna</w:t>
      </w:r>
      <w:proofErr w:type="spellEnd"/>
      <w:r w:rsidR="002664E4" w:rsidRPr="00DF1DA4">
        <w:rPr>
          <w:color w:val="000000"/>
          <w:sz w:val="22"/>
          <w:szCs w:val="22"/>
          <w:lang w:val="en-US"/>
        </w:rPr>
        <w:t xml:space="preserve"> Invest</w:t>
      </w:r>
      <w:r w:rsidR="00DF1DA4" w:rsidRPr="00DF1DA4">
        <w:rPr>
          <w:color w:val="000000"/>
          <w:sz w:val="22"/>
          <w:szCs w:val="22"/>
          <w:lang w:val="en-US"/>
        </w:rPr>
        <w:t>)</w:t>
      </w:r>
      <w:r w:rsidR="002664E4" w:rsidRPr="00BB6475">
        <w:rPr>
          <w:color w:val="000000"/>
          <w:sz w:val="22"/>
          <w:szCs w:val="22"/>
          <w:lang w:val="en-US"/>
        </w:rPr>
        <w:t xml:space="preserve"> </w:t>
      </w:r>
      <w:r w:rsidR="002664E4">
        <w:rPr>
          <w:color w:val="000000"/>
          <w:sz w:val="22"/>
          <w:szCs w:val="22"/>
          <w:lang w:val="en-US"/>
        </w:rPr>
        <w:t xml:space="preserve">was </w:t>
      </w:r>
      <w:r w:rsidR="002664E4" w:rsidRPr="00BB6475">
        <w:rPr>
          <w:color w:val="000000"/>
          <w:sz w:val="22"/>
          <w:szCs w:val="22"/>
          <w:lang w:val="en-US"/>
        </w:rPr>
        <w:t xml:space="preserve">registered in July 2007; </w:t>
      </w:r>
      <w:r w:rsidR="002664E4">
        <w:rPr>
          <w:color w:val="000000"/>
          <w:sz w:val="22"/>
          <w:szCs w:val="22"/>
          <w:lang w:val="en-US"/>
        </w:rPr>
        <w:t>the</w:t>
      </w:r>
      <w:r w:rsidR="002664E4" w:rsidRPr="00BB6475">
        <w:rPr>
          <w:color w:val="000000"/>
          <w:sz w:val="22"/>
          <w:szCs w:val="22"/>
          <w:lang w:val="en-US"/>
        </w:rPr>
        <w:t xml:space="preserve"> founder of the company </w:t>
      </w:r>
      <w:r w:rsidR="002664E4">
        <w:rPr>
          <w:color w:val="000000"/>
          <w:sz w:val="22"/>
          <w:szCs w:val="22"/>
          <w:lang w:val="en-US"/>
        </w:rPr>
        <w:t xml:space="preserve">is </w:t>
      </w:r>
      <w:r w:rsidR="002664E4" w:rsidRPr="00BB6475">
        <w:rPr>
          <w:color w:val="000000"/>
          <w:sz w:val="22"/>
          <w:szCs w:val="22"/>
          <w:lang w:val="en-US"/>
        </w:rPr>
        <w:t xml:space="preserve">JSC </w:t>
      </w:r>
      <w:r w:rsidR="002664E4">
        <w:rPr>
          <w:color w:val="000000"/>
          <w:sz w:val="22"/>
          <w:szCs w:val="22"/>
          <w:lang w:val="en-US"/>
        </w:rPr>
        <w:t>“</w:t>
      </w:r>
      <w:r w:rsidR="002664E4" w:rsidRPr="00BB6475">
        <w:rPr>
          <w:color w:val="000000"/>
          <w:sz w:val="22"/>
          <w:szCs w:val="22"/>
          <w:lang w:val="en-US"/>
        </w:rPr>
        <w:t xml:space="preserve">Holding </w:t>
      </w:r>
      <w:r w:rsidR="002664E4">
        <w:rPr>
          <w:color w:val="000000"/>
          <w:sz w:val="22"/>
          <w:szCs w:val="22"/>
          <w:lang w:val="en-US"/>
        </w:rPr>
        <w:t>“</w:t>
      </w:r>
      <w:proofErr w:type="spellStart"/>
      <w:r w:rsidR="002664E4" w:rsidRPr="00BB6475">
        <w:rPr>
          <w:color w:val="000000"/>
          <w:sz w:val="22"/>
          <w:szCs w:val="22"/>
          <w:lang w:val="en-US"/>
        </w:rPr>
        <w:t>Samruk</w:t>
      </w:r>
      <w:proofErr w:type="spellEnd"/>
      <w:r w:rsidR="002664E4">
        <w:rPr>
          <w:color w:val="000000"/>
          <w:sz w:val="22"/>
          <w:szCs w:val="22"/>
          <w:lang w:val="en-US"/>
        </w:rPr>
        <w:t>”.</w:t>
      </w:r>
    </w:p>
    <w:p w:rsidR="002664E4" w:rsidRPr="00BB6475" w:rsidRDefault="002664E4" w:rsidP="002664E4">
      <w:pPr>
        <w:tabs>
          <w:tab w:val="left" w:pos="284"/>
        </w:tabs>
        <w:ind w:left="-567" w:firstLine="567"/>
        <w:jc w:val="both"/>
        <w:rPr>
          <w:color w:val="000000"/>
          <w:sz w:val="22"/>
          <w:szCs w:val="22"/>
          <w:lang w:val="en-US"/>
        </w:rPr>
      </w:pPr>
      <w:r w:rsidRPr="00BB6475">
        <w:rPr>
          <w:color w:val="000000"/>
          <w:sz w:val="22"/>
          <w:szCs w:val="22"/>
          <w:lang w:val="en-US"/>
        </w:rPr>
        <w:t>Main activities of S</w:t>
      </w:r>
      <w:r>
        <w:rPr>
          <w:color w:val="000000"/>
          <w:sz w:val="22"/>
          <w:szCs w:val="22"/>
          <w:lang w:val="en-US"/>
        </w:rPr>
        <w:t>amruk-</w:t>
      </w:r>
      <w:r w:rsidRPr="00BB6475">
        <w:rPr>
          <w:color w:val="000000"/>
          <w:sz w:val="22"/>
          <w:szCs w:val="22"/>
          <w:lang w:val="en-US"/>
        </w:rPr>
        <w:t>K</w:t>
      </w:r>
      <w:r>
        <w:rPr>
          <w:color w:val="000000"/>
          <w:sz w:val="22"/>
          <w:szCs w:val="22"/>
          <w:lang w:val="en-US"/>
        </w:rPr>
        <w:t>azyna</w:t>
      </w:r>
      <w:r w:rsidRPr="00BB6475">
        <w:rPr>
          <w:color w:val="000000"/>
          <w:sz w:val="22"/>
          <w:szCs w:val="22"/>
          <w:lang w:val="en-US"/>
        </w:rPr>
        <w:t xml:space="preserve"> Invest:</w:t>
      </w:r>
    </w:p>
    <w:p w:rsidR="002664E4" w:rsidRPr="00BB6475" w:rsidRDefault="002664E4" w:rsidP="002664E4">
      <w:pPr>
        <w:tabs>
          <w:tab w:val="left" w:pos="284"/>
        </w:tabs>
        <w:ind w:left="-567" w:firstLine="567"/>
        <w:jc w:val="both"/>
        <w:rPr>
          <w:color w:val="000000"/>
          <w:sz w:val="22"/>
          <w:szCs w:val="22"/>
          <w:lang w:val="en-US"/>
        </w:rPr>
      </w:pPr>
      <w:r w:rsidRPr="00BB6475">
        <w:rPr>
          <w:color w:val="000000"/>
          <w:sz w:val="22"/>
          <w:szCs w:val="22"/>
          <w:lang w:val="en-US"/>
        </w:rPr>
        <w:t xml:space="preserve">• </w:t>
      </w:r>
      <w:proofErr w:type="gramStart"/>
      <w:r w:rsidRPr="00BB6475">
        <w:rPr>
          <w:color w:val="000000"/>
          <w:sz w:val="22"/>
          <w:szCs w:val="22"/>
          <w:lang w:val="en-US"/>
        </w:rPr>
        <w:t>participation</w:t>
      </w:r>
      <w:proofErr w:type="gramEnd"/>
      <w:r w:rsidRPr="00BB6475">
        <w:rPr>
          <w:color w:val="000000"/>
          <w:sz w:val="22"/>
          <w:szCs w:val="22"/>
          <w:lang w:val="en-US"/>
        </w:rPr>
        <w:t xml:space="preserve"> in the Fund's investment activities thr</w:t>
      </w:r>
      <w:r>
        <w:rPr>
          <w:color w:val="000000"/>
          <w:sz w:val="22"/>
          <w:szCs w:val="22"/>
          <w:lang w:val="en-US"/>
        </w:rPr>
        <w:t>ough the provision of services on</w:t>
      </w:r>
      <w:r w:rsidRPr="00BB6475">
        <w:rPr>
          <w:color w:val="000000"/>
          <w:sz w:val="22"/>
          <w:szCs w:val="22"/>
          <w:lang w:val="en-US"/>
        </w:rPr>
        <w:t xml:space="preserve"> the Fund's investment activities, including: investment in capital and assets, including </w:t>
      </w:r>
      <w:r>
        <w:rPr>
          <w:color w:val="000000"/>
          <w:sz w:val="22"/>
          <w:szCs w:val="22"/>
          <w:lang w:val="en-US"/>
        </w:rPr>
        <w:t xml:space="preserve">at the expense of </w:t>
      </w:r>
      <w:r w:rsidRPr="00BB6475">
        <w:rPr>
          <w:color w:val="000000"/>
          <w:sz w:val="22"/>
          <w:szCs w:val="22"/>
          <w:lang w:val="en-US"/>
        </w:rPr>
        <w:t xml:space="preserve">the Fund in accordance with the </w:t>
      </w:r>
      <w:r>
        <w:rPr>
          <w:color w:val="000000"/>
          <w:sz w:val="22"/>
          <w:szCs w:val="22"/>
          <w:lang w:val="en-US"/>
        </w:rPr>
        <w:t>Investment P</w:t>
      </w:r>
      <w:r w:rsidRPr="00BB6475">
        <w:rPr>
          <w:color w:val="000000"/>
          <w:sz w:val="22"/>
          <w:szCs w:val="22"/>
          <w:lang w:val="en-US"/>
        </w:rPr>
        <w:t>olic</w:t>
      </w:r>
      <w:r>
        <w:rPr>
          <w:color w:val="000000"/>
          <w:sz w:val="22"/>
          <w:szCs w:val="22"/>
          <w:lang w:val="en-US"/>
        </w:rPr>
        <w:t>y</w:t>
      </w:r>
      <w:r w:rsidRPr="00BB6475">
        <w:rPr>
          <w:color w:val="000000"/>
          <w:sz w:val="22"/>
          <w:szCs w:val="22"/>
          <w:lang w:val="en-US"/>
        </w:rPr>
        <w:t xml:space="preserve"> of the Fund;</w:t>
      </w:r>
    </w:p>
    <w:p w:rsidR="002664E4" w:rsidRPr="00BB6475" w:rsidRDefault="002664E4" w:rsidP="002664E4">
      <w:pPr>
        <w:tabs>
          <w:tab w:val="left" w:pos="284"/>
        </w:tabs>
        <w:ind w:left="-567" w:firstLine="567"/>
        <w:jc w:val="both"/>
        <w:rPr>
          <w:color w:val="000000"/>
          <w:sz w:val="22"/>
          <w:szCs w:val="22"/>
          <w:lang w:val="en-US"/>
        </w:rPr>
      </w:pPr>
      <w:r w:rsidRPr="00BB6475">
        <w:rPr>
          <w:color w:val="000000"/>
          <w:sz w:val="22"/>
          <w:szCs w:val="22"/>
          <w:lang w:val="en-US"/>
        </w:rPr>
        <w:t xml:space="preserve">• providing investment </w:t>
      </w:r>
      <w:r>
        <w:rPr>
          <w:color w:val="000000"/>
          <w:sz w:val="22"/>
          <w:szCs w:val="22"/>
          <w:lang w:val="en-US"/>
        </w:rPr>
        <w:t xml:space="preserve">and </w:t>
      </w:r>
      <w:r w:rsidRPr="00BB6475">
        <w:rPr>
          <w:color w:val="000000"/>
          <w:sz w:val="22"/>
          <w:szCs w:val="22"/>
          <w:lang w:val="en-US"/>
        </w:rPr>
        <w:t>advisory services;</w:t>
      </w:r>
    </w:p>
    <w:p w:rsidR="002664E4" w:rsidRDefault="002664E4" w:rsidP="002664E4">
      <w:pPr>
        <w:tabs>
          <w:tab w:val="left" w:pos="284"/>
        </w:tabs>
        <w:ind w:left="-567" w:firstLine="567"/>
        <w:jc w:val="both"/>
        <w:rPr>
          <w:color w:val="000000"/>
          <w:sz w:val="22"/>
          <w:szCs w:val="22"/>
          <w:lang w:val="en-US"/>
        </w:rPr>
      </w:pPr>
      <w:r w:rsidRPr="008F0881">
        <w:rPr>
          <w:color w:val="000000"/>
          <w:sz w:val="22"/>
          <w:szCs w:val="22"/>
          <w:lang w:val="en-US"/>
        </w:rPr>
        <w:t xml:space="preserve">• </w:t>
      </w:r>
      <w:proofErr w:type="gramStart"/>
      <w:r>
        <w:rPr>
          <w:color w:val="000000"/>
          <w:sz w:val="22"/>
          <w:szCs w:val="22"/>
          <w:lang w:val="en-US"/>
        </w:rPr>
        <w:t>o</w:t>
      </w:r>
      <w:r w:rsidRPr="008F0881">
        <w:rPr>
          <w:color w:val="000000"/>
          <w:sz w:val="22"/>
          <w:szCs w:val="22"/>
          <w:lang w:val="en-US"/>
        </w:rPr>
        <w:t>rganization</w:t>
      </w:r>
      <w:proofErr w:type="gramEnd"/>
      <w:r w:rsidRPr="008F0881">
        <w:rPr>
          <w:color w:val="000000"/>
          <w:sz w:val="22"/>
          <w:szCs w:val="22"/>
          <w:lang w:val="en-US"/>
        </w:rPr>
        <w:t xml:space="preserve"> of project financing, including evaluation of sources of finance and syndicated project financing.</w:t>
      </w:r>
    </w:p>
    <w:p w:rsidR="002664E4" w:rsidRPr="00BB6475" w:rsidRDefault="00953640" w:rsidP="002664E4">
      <w:pPr>
        <w:tabs>
          <w:tab w:val="left" w:pos="284"/>
        </w:tabs>
        <w:ind w:left="-567" w:firstLine="567"/>
        <w:jc w:val="both"/>
        <w:rPr>
          <w:color w:val="000000"/>
          <w:sz w:val="22"/>
          <w:szCs w:val="22"/>
          <w:lang w:val="en-US"/>
        </w:rPr>
      </w:pPr>
      <w:r w:rsidRPr="00953640">
        <w:rPr>
          <w:b/>
          <w:sz w:val="22"/>
          <w:szCs w:val="22"/>
          <w:lang w:val="en-US"/>
        </w:rPr>
        <w:t>“</w:t>
      </w:r>
      <w:r w:rsidRPr="00953640">
        <w:rPr>
          <w:b/>
          <w:sz w:val="22"/>
          <w:szCs w:val="22"/>
          <w:lang w:val="kk-KZ"/>
        </w:rPr>
        <w:t>S</w:t>
      </w:r>
      <w:proofErr w:type="spellStart"/>
      <w:r w:rsidRPr="00953640">
        <w:rPr>
          <w:b/>
          <w:sz w:val="22"/>
          <w:szCs w:val="22"/>
          <w:lang w:val="en-US"/>
        </w:rPr>
        <w:t>amruk</w:t>
      </w:r>
      <w:proofErr w:type="spellEnd"/>
      <w:r w:rsidRPr="00953640">
        <w:rPr>
          <w:b/>
          <w:sz w:val="22"/>
          <w:szCs w:val="22"/>
          <w:lang w:val="en-US"/>
        </w:rPr>
        <w:t>-</w:t>
      </w:r>
      <w:r w:rsidRPr="00953640">
        <w:rPr>
          <w:b/>
          <w:sz w:val="22"/>
          <w:szCs w:val="22"/>
          <w:lang w:val="kk-KZ"/>
        </w:rPr>
        <w:t>K</w:t>
      </w:r>
      <w:proofErr w:type="spellStart"/>
      <w:r w:rsidRPr="00953640">
        <w:rPr>
          <w:b/>
          <w:sz w:val="22"/>
          <w:szCs w:val="22"/>
          <w:lang w:val="en-US"/>
        </w:rPr>
        <w:t>azyna</w:t>
      </w:r>
      <w:proofErr w:type="spellEnd"/>
      <w:r w:rsidRPr="00953640">
        <w:rPr>
          <w:b/>
          <w:sz w:val="22"/>
          <w:szCs w:val="22"/>
          <w:lang w:val="kk-KZ"/>
        </w:rPr>
        <w:t xml:space="preserve"> Contract</w:t>
      </w:r>
      <w:r w:rsidRPr="00953640">
        <w:rPr>
          <w:b/>
          <w:sz w:val="22"/>
          <w:szCs w:val="22"/>
          <w:lang w:val="en-US"/>
        </w:rPr>
        <w:t>” LLP</w:t>
      </w:r>
      <w:r>
        <w:rPr>
          <w:b/>
          <w:color w:val="000000"/>
          <w:sz w:val="22"/>
          <w:szCs w:val="22"/>
          <w:lang w:val="en-US"/>
        </w:rPr>
        <w:t xml:space="preserve"> </w:t>
      </w:r>
      <w:r w:rsidRPr="00953640">
        <w:rPr>
          <w:color w:val="000000"/>
          <w:sz w:val="22"/>
          <w:szCs w:val="22"/>
          <w:lang w:val="en-US"/>
        </w:rPr>
        <w:t xml:space="preserve">(hereinafter - </w:t>
      </w:r>
      <w:proofErr w:type="spellStart"/>
      <w:r w:rsidR="002664E4" w:rsidRPr="00953640">
        <w:rPr>
          <w:color w:val="000000"/>
          <w:sz w:val="22"/>
          <w:szCs w:val="22"/>
          <w:lang w:val="en-US"/>
        </w:rPr>
        <w:t>Samruk-Kazyna</w:t>
      </w:r>
      <w:proofErr w:type="spellEnd"/>
      <w:r w:rsidR="002664E4" w:rsidRPr="00953640">
        <w:rPr>
          <w:color w:val="000000"/>
          <w:sz w:val="22"/>
          <w:szCs w:val="22"/>
          <w:lang w:val="en-US"/>
        </w:rPr>
        <w:t xml:space="preserve"> Contract</w:t>
      </w:r>
      <w:r w:rsidRPr="00953640">
        <w:rPr>
          <w:color w:val="000000"/>
          <w:sz w:val="22"/>
          <w:szCs w:val="22"/>
          <w:lang w:val="en-US"/>
        </w:rPr>
        <w:t>)</w:t>
      </w:r>
      <w:r w:rsidR="002664E4" w:rsidRPr="00BB6475">
        <w:rPr>
          <w:b/>
          <w:color w:val="000000"/>
          <w:sz w:val="22"/>
          <w:szCs w:val="22"/>
          <w:lang w:val="en-US"/>
        </w:rPr>
        <w:t xml:space="preserve"> </w:t>
      </w:r>
      <w:r w:rsidR="002664E4" w:rsidRPr="00BB6475">
        <w:rPr>
          <w:color w:val="000000"/>
          <w:sz w:val="22"/>
          <w:szCs w:val="22"/>
          <w:lang w:val="en-US"/>
        </w:rPr>
        <w:t xml:space="preserve">is the successor of </w:t>
      </w:r>
      <w:r w:rsidR="002664E4">
        <w:rPr>
          <w:color w:val="000000"/>
          <w:sz w:val="22"/>
          <w:szCs w:val="22"/>
          <w:lang w:val="en-US"/>
        </w:rPr>
        <w:t xml:space="preserve">“Telecom Invest </w:t>
      </w:r>
      <w:proofErr w:type="spellStart"/>
      <w:r w:rsidR="002664E4">
        <w:rPr>
          <w:color w:val="000000"/>
          <w:sz w:val="22"/>
          <w:szCs w:val="22"/>
          <w:lang w:val="en-US"/>
        </w:rPr>
        <w:t>Samruk</w:t>
      </w:r>
      <w:proofErr w:type="spellEnd"/>
      <w:r w:rsidR="002664E4">
        <w:rPr>
          <w:color w:val="000000"/>
          <w:sz w:val="22"/>
          <w:szCs w:val="22"/>
          <w:lang w:val="en-US"/>
        </w:rPr>
        <w:t>” LLP</w:t>
      </w:r>
      <w:r w:rsidR="002664E4" w:rsidRPr="00BB6475">
        <w:rPr>
          <w:color w:val="000000"/>
          <w:sz w:val="22"/>
          <w:szCs w:val="22"/>
          <w:lang w:val="en-US"/>
        </w:rPr>
        <w:t xml:space="preserve">, which was established by the </w:t>
      </w:r>
      <w:r w:rsidR="002664E4">
        <w:rPr>
          <w:color w:val="000000"/>
          <w:sz w:val="22"/>
          <w:szCs w:val="22"/>
          <w:lang w:val="en-US"/>
        </w:rPr>
        <w:t xml:space="preserve">decision of the </w:t>
      </w:r>
      <w:r w:rsidR="002664E4" w:rsidRPr="00BB6475">
        <w:rPr>
          <w:color w:val="000000"/>
          <w:sz w:val="22"/>
          <w:szCs w:val="22"/>
          <w:lang w:val="en-US"/>
        </w:rPr>
        <w:t xml:space="preserve">Board of Directors of the Holding </w:t>
      </w:r>
      <w:r w:rsidR="002664E4">
        <w:rPr>
          <w:color w:val="000000"/>
          <w:sz w:val="22"/>
          <w:szCs w:val="22"/>
          <w:lang w:val="en-US"/>
        </w:rPr>
        <w:t>“</w:t>
      </w:r>
      <w:proofErr w:type="spellStart"/>
      <w:r w:rsidR="002664E4">
        <w:rPr>
          <w:color w:val="000000"/>
          <w:sz w:val="22"/>
          <w:szCs w:val="22"/>
          <w:lang w:val="en-US"/>
        </w:rPr>
        <w:t>Samruk</w:t>
      </w:r>
      <w:proofErr w:type="spellEnd"/>
      <w:r w:rsidR="002664E4">
        <w:rPr>
          <w:color w:val="000000"/>
          <w:sz w:val="22"/>
          <w:szCs w:val="22"/>
          <w:lang w:val="en-US"/>
        </w:rPr>
        <w:t>”</w:t>
      </w:r>
      <w:r w:rsidR="002664E4" w:rsidRPr="00BB6475">
        <w:rPr>
          <w:color w:val="000000"/>
          <w:sz w:val="22"/>
          <w:szCs w:val="22"/>
          <w:lang w:val="en-US"/>
        </w:rPr>
        <w:t xml:space="preserve"> in July 2007 in order to implement the first phase of the project for modernization and development of rural telecommunications network using the technology CDMA (TSNP) </w:t>
      </w:r>
      <w:r w:rsidR="002664E4">
        <w:rPr>
          <w:color w:val="000000"/>
          <w:sz w:val="22"/>
          <w:szCs w:val="22"/>
          <w:lang w:val="en-US"/>
        </w:rPr>
        <w:t>on</w:t>
      </w:r>
      <w:r w:rsidR="002664E4" w:rsidRPr="00BB6475">
        <w:rPr>
          <w:color w:val="000000"/>
          <w:sz w:val="22"/>
          <w:szCs w:val="22"/>
          <w:lang w:val="en-US"/>
        </w:rPr>
        <w:t xml:space="preserve"> </w:t>
      </w:r>
      <w:r w:rsidR="002664E4" w:rsidRPr="00E610BA">
        <w:rPr>
          <w:color w:val="000000"/>
          <w:sz w:val="22"/>
          <w:szCs w:val="22"/>
          <w:lang w:val="en-US"/>
        </w:rPr>
        <w:t>installation of telephone services</w:t>
      </w:r>
      <w:r w:rsidR="002664E4" w:rsidRPr="00BB6475">
        <w:rPr>
          <w:color w:val="000000"/>
          <w:sz w:val="22"/>
          <w:szCs w:val="22"/>
          <w:lang w:val="en-US"/>
        </w:rPr>
        <w:t xml:space="preserve"> </w:t>
      </w:r>
      <w:r w:rsidR="002664E4">
        <w:rPr>
          <w:color w:val="000000"/>
          <w:sz w:val="22"/>
          <w:szCs w:val="22"/>
          <w:lang w:val="en-US"/>
        </w:rPr>
        <w:t>in the</w:t>
      </w:r>
      <w:r w:rsidR="002664E4" w:rsidRPr="00BB6475">
        <w:rPr>
          <w:color w:val="000000"/>
          <w:sz w:val="22"/>
          <w:szCs w:val="22"/>
          <w:lang w:val="en-US"/>
        </w:rPr>
        <w:t xml:space="preserve"> rural c</w:t>
      </w:r>
      <w:r w:rsidR="002664E4">
        <w:rPr>
          <w:color w:val="000000"/>
          <w:sz w:val="22"/>
          <w:szCs w:val="22"/>
          <w:lang w:val="en-US"/>
        </w:rPr>
        <w:t xml:space="preserve"> </w:t>
      </w:r>
      <w:r w:rsidR="002664E4" w:rsidRPr="00BB6475">
        <w:rPr>
          <w:color w:val="000000"/>
          <w:sz w:val="22"/>
          <w:szCs w:val="22"/>
          <w:lang w:val="en-US"/>
        </w:rPr>
        <w:t xml:space="preserve">settlements with a population of more than 50 people and the </w:t>
      </w:r>
      <w:r w:rsidR="002664E4">
        <w:rPr>
          <w:color w:val="000000"/>
          <w:sz w:val="22"/>
          <w:szCs w:val="22"/>
          <w:lang w:val="en-US"/>
        </w:rPr>
        <w:t>appropriate</w:t>
      </w:r>
      <w:r w:rsidR="002664E4" w:rsidRPr="00BB6475">
        <w:rPr>
          <w:color w:val="000000"/>
          <w:sz w:val="22"/>
          <w:szCs w:val="22"/>
          <w:lang w:val="en-US"/>
        </w:rPr>
        <w:t xml:space="preserve"> modernization of rural communication.</w:t>
      </w:r>
    </w:p>
    <w:p w:rsidR="002664E4" w:rsidRDefault="002664E4" w:rsidP="002664E4">
      <w:pPr>
        <w:tabs>
          <w:tab w:val="left" w:pos="284"/>
        </w:tabs>
        <w:ind w:left="-567" w:firstLine="567"/>
        <w:jc w:val="both"/>
        <w:rPr>
          <w:color w:val="000000"/>
          <w:sz w:val="22"/>
          <w:szCs w:val="22"/>
          <w:lang w:val="en-US"/>
        </w:rPr>
      </w:pPr>
      <w:r w:rsidRPr="00E610BA">
        <w:rPr>
          <w:color w:val="000000"/>
          <w:sz w:val="22"/>
          <w:szCs w:val="22"/>
          <w:lang w:val="en-US"/>
        </w:rPr>
        <w:t>Since 2009 the main activities of S</w:t>
      </w:r>
      <w:r>
        <w:rPr>
          <w:color w:val="000000"/>
          <w:sz w:val="22"/>
          <w:szCs w:val="22"/>
          <w:lang w:val="en-US"/>
        </w:rPr>
        <w:t>amruk-</w:t>
      </w:r>
      <w:r w:rsidRPr="00E610BA">
        <w:rPr>
          <w:color w:val="000000"/>
          <w:sz w:val="22"/>
          <w:szCs w:val="22"/>
          <w:lang w:val="en-US"/>
        </w:rPr>
        <w:t>K</w:t>
      </w:r>
      <w:r>
        <w:rPr>
          <w:color w:val="000000"/>
          <w:sz w:val="22"/>
          <w:szCs w:val="22"/>
          <w:lang w:val="en-US"/>
        </w:rPr>
        <w:t xml:space="preserve">azyna Contract </w:t>
      </w:r>
      <w:r w:rsidRPr="00E610BA">
        <w:rPr>
          <w:color w:val="000000"/>
          <w:sz w:val="22"/>
          <w:szCs w:val="22"/>
          <w:lang w:val="en-US"/>
        </w:rPr>
        <w:t xml:space="preserve">are monitoring local content, </w:t>
      </w:r>
      <w:r>
        <w:rPr>
          <w:color w:val="000000"/>
          <w:sz w:val="22"/>
          <w:szCs w:val="22"/>
          <w:lang w:val="en-US"/>
        </w:rPr>
        <w:t>introduction</w:t>
      </w:r>
      <w:r w:rsidRPr="00E610BA">
        <w:rPr>
          <w:color w:val="000000"/>
          <w:sz w:val="22"/>
          <w:szCs w:val="22"/>
          <w:lang w:val="en-US"/>
        </w:rPr>
        <w:t xml:space="preserve"> of transparent procedures for procurement of </w:t>
      </w:r>
      <w:r>
        <w:rPr>
          <w:color w:val="000000"/>
          <w:sz w:val="22"/>
          <w:szCs w:val="22"/>
          <w:lang w:val="en-US"/>
        </w:rPr>
        <w:t>the G</w:t>
      </w:r>
      <w:r w:rsidRPr="00E610BA">
        <w:rPr>
          <w:color w:val="000000"/>
          <w:sz w:val="22"/>
          <w:szCs w:val="22"/>
          <w:lang w:val="en-US"/>
        </w:rPr>
        <w:t xml:space="preserve">roup </w:t>
      </w:r>
      <w:r>
        <w:rPr>
          <w:color w:val="000000"/>
          <w:sz w:val="22"/>
          <w:szCs w:val="22"/>
          <w:lang w:val="en-US"/>
        </w:rPr>
        <w:t>of C</w:t>
      </w:r>
      <w:r w:rsidRPr="00E610BA">
        <w:rPr>
          <w:color w:val="000000"/>
          <w:sz w:val="22"/>
          <w:szCs w:val="22"/>
          <w:lang w:val="en-US"/>
        </w:rPr>
        <w:t xml:space="preserve">ompanies of the Fund and the extraction of net income </w:t>
      </w:r>
      <w:r>
        <w:rPr>
          <w:color w:val="000000"/>
          <w:sz w:val="22"/>
          <w:szCs w:val="22"/>
          <w:lang w:val="en-US"/>
        </w:rPr>
        <w:t>in</w:t>
      </w:r>
      <w:r w:rsidRPr="00E610BA">
        <w:rPr>
          <w:color w:val="000000"/>
          <w:sz w:val="22"/>
          <w:szCs w:val="22"/>
          <w:lang w:val="en-US"/>
        </w:rPr>
        <w:t xml:space="preserve"> the Fund</w:t>
      </w:r>
      <w:r>
        <w:rPr>
          <w:color w:val="000000"/>
          <w:sz w:val="22"/>
          <w:szCs w:val="22"/>
          <w:lang w:val="en-US"/>
        </w:rPr>
        <w:t>’s interests</w:t>
      </w:r>
      <w:r w:rsidRPr="00E610BA">
        <w:rPr>
          <w:color w:val="000000"/>
          <w:sz w:val="22"/>
          <w:szCs w:val="22"/>
          <w:lang w:val="en-US"/>
        </w:rPr>
        <w:t>.</w:t>
      </w:r>
    </w:p>
    <w:p w:rsidR="002664E4" w:rsidRPr="00E610BA" w:rsidRDefault="00953640" w:rsidP="002664E4">
      <w:pPr>
        <w:tabs>
          <w:tab w:val="left" w:pos="284"/>
        </w:tabs>
        <w:ind w:left="-567" w:firstLine="567"/>
        <w:jc w:val="both"/>
        <w:rPr>
          <w:color w:val="000000"/>
          <w:sz w:val="22"/>
          <w:szCs w:val="22"/>
          <w:lang w:val="en-US"/>
        </w:rPr>
      </w:pPr>
      <w:r w:rsidRPr="00953640">
        <w:rPr>
          <w:b/>
          <w:sz w:val="22"/>
          <w:szCs w:val="22"/>
          <w:lang w:val="en-US"/>
        </w:rPr>
        <w:t>“</w:t>
      </w:r>
      <w:r w:rsidRPr="00953640">
        <w:rPr>
          <w:b/>
          <w:sz w:val="22"/>
          <w:szCs w:val="22"/>
          <w:lang w:val="kk-KZ"/>
        </w:rPr>
        <w:t>S</w:t>
      </w:r>
      <w:proofErr w:type="spellStart"/>
      <w:r w:rsidRPr="00953640">
        <w:rPr>
          <w:b/>
          <w:sz w:val="22"/>
          <w:szCs w:val="22"/>
          <w:lang w:val="en-US"/>
        </w:rPr>
        <w:t>amruk</w:t>
      </w:r>
      <w:proofErr w:type="spellEnd"/>
      <w:r w:rsidRPr="00953640">
        <w:rPr>
          <w:b/>
          <w:sz w:val="22"/>
          <w:szCs w:val="22"/>
          <w:lang w:val="en-US"/>
        </w:rPr>
        <w:t>-</w:t>
      </w:r>
      <w:r w:rsidRPr="00953640">
        <w:rPr>
          <w:b/>
          <w:sz w:val="22"/>
          <w:szCs w:val="22"/>
          <w:lang w:val="kk-KZ"/>
        </w:rPr>
        <w:t>K</w:t>
      </w:r>
      <w:proofErr w:type="spellStart"/>
      <w:r w:rsidRPr="00953640">
        <w:rPr>
          <w:b/>
          <w:sz w:val="22"/>
          <w:szCs w:val="22"/>
          <w:lang w:val="en-US"/>
        </w:rPr>
        <w:t>azyna</w:t>
      </w:r>
      <w:proofErr w:type="spellEnd"/>
      <w:r w:rsidRPr="00953640">
        <w:rPr>
          <w:b/>
          <w:sz w:val="22"/>
          <w:szCs w:val="22"/>
          <w:lang w:val="kk-KZ"/>
        </w:rPr>
        <w:t xml:space="preserve"> Pharmaceuticals</w:t>
      </w:r>
      <w:r w:rsidRPr="00953640">
        <w:rPr>
          <w:b/>
          <w:sz w:val="22"/>
          <w:szCs w:val="22"/>
          <w:lang w:val="en-US"/>
        </w:rPr>
        <w:t>” LLP</w:t>
      </w:r>
      <w:r>
        <w:rPr>
          <w:b/>
          <w:color w:val="000000"/>
          <w:sz w:val="22"/>
          <w:szCs w:val="22"/>
          <w:lang w:val="en-US"/>
        </w:rPr>
        <w:t xml:space="preserve"> </w:t>
      </w:r>
      <w:r w:rsidRPr="00953640">
        <w:rPr>
          <w:color w:val="000000"/>
          <w:sz w:val="22"/>
          <w:szCs w:val="22"/>
          <w:lang w:val="en-US"/>
        </w:rPr>
        <w:t xml:space="preserve">(hereinafter - </w:t>
      </w:r>
      <w:r w:rsidR="002664E4" w:rsidRPr="00953640">
        <w:rPr>
          <w:color w:val="000000"/>
          <w:sz w:val="22"/>
          <w:szCs w:val="22"/>
          <w:lang w:val="en-US"/>
        </w:rPr>
        <w:t>SK-</w:t>
      </w:r>
      <w:r w:rsidR="00886D27" w:rsidRPr="00953640">
        <w:rPr>
          <w:color w:val="000000"/>
          <w:sz w:val="22"/>
          <w:szCs w:val="22"/>
          <w:lang w:val="en-US"/>
        </w:rPr>
        <w:t>Pharmaceuticals</w:t>
      </w:r>
      <w:r w:rsidRPr="00953640">
        <w:rPr>
          <w:color w:val="000000"/>
          <w:sz w:val="22"/>
          <w:szCs w:val="22"/>
          <w:lang w:val="en-US"/>
        </w:rPr>
        <w:t>)</w:t>
      </w:r>
      <w:r w:rsidR="00886D27">
        <w:rPr>
          <w:b/>
          <w:color w:val="000000"/>
          <w:sz w:val="22"/>
          <w:szCs w:val="22"/>
          <w:lang w:val="en-US"/>
        </w:rPr>
        <w:t xml:space="preserve"> </w:t>
      </w:r>
      <w:r w:rsidR="002664E4">
        <w:rPr>
          <w:color w:val="000000"/>
          <w:sz w:val="22"/>
          <w:szCs w:val="22"/>
          <w:lang w:val="en-US"/>
        </w:rPr>
        <w:t xml:space="preserve">was </w:t>
      </w:r>
      <w:r w:rsidR="002664E4" w:rsidRPr="00E610BA">
        <w:rPr>
          <w:color w:val="000000"/>
          <w:sz w:val="22"/>
          <w:szCs w:val="22"/>
          <w:lang w:val="en-US"/>
        </w:rPr>
        <w:t xml:space="preserve">established pursuant to </w:t>
      </w:r>
      <w:r w:rsidR="002664E4">
        <w:rPr>
          <w:color w:val="000000"/>
          <w:sz w:val="22"/>
          <w:szCs w:val="22"/>
          <w:lang w:val="en-US"/>
        </w:rPr>
        <w:t>Decree</w:t>
      </w:r>
      <w:r w:rsidR="002664E4" w:rsidRPr="00E610BA">
        <w:rPr>
          <w:color w:val="000000"/>
          <w:sz w:val="22"/>
          <w:szCs w:val="22"/>
          <w:lang w:val="en-US"/>
        </w:rPr>
        <w:t xml:space="preserve"> of the Government of </w:t>
      </w:r>
      <w:r w:rsidR="002664E4">
        <w:rPr>
          <w:color w:val="000000"/>
          <w:sz w:val="22"/>
          <w:szCs w:val="22"/>
          <w:lang w:val="en-US"/>
        </w:rPr>
        <w:t xml:space="preserve">the </w:t>
      </w:r>
      <w:r w:rsidR="002664E4" w:rsidRPr="00E610BA">
        <w:rPr>
          <w:color w:val="000000"/>
          <w:sz w:val="22"/>
          <w:szCs w:val="22"/>
          <w:lang w:val="en-US"/>
        </w:rPr>
        <w:t>R</w:t>
      </w:r>
      <w:r w:rsidR="002664E4">
        <w:rPr>
          <w:color w:val="000000"/>
          <w:sz w:val="22"/>
          <w:szCs w:val="22"/>
          <w:lang w:val="en-US"/>
        </w:rPr>
        <w:t xml:space="preserve">epublic of </w:t>
      </w:r>
      <w:r w:rsidR="002664E4" w:rsidRPr="00E610BA">
        <w:rPr>
          <w:color w:val="000000"/>
          <w:sz w:val="22"/>
          <w:szCs w:val="22"/>
          <w:lang w:val="en-US"/>
        </w:rPr>
        <w:t>K</w:t>
      </w:r>
      <w:r w:rsidR="002664E4">
        <w:rPr>
          <w:color w:val="000000"/>
          <w:sz w:val="22"/>
          <w:szCs w:val="22"/>
          <w:lang w:val="en-US"/>
        </w:rPr>
        <w:t>azakhstan</w:t>
      </w:r>
      <w:r w:rsidR="002664E4" w:rsidRPr="00E610BA">
        <w:rPr>
          <w:color w:val="000000"/>
          <w:sz w:val="22"/>
          <w:szCs w:val="22"/>
          <w:lang w:val="en-US"/>
        </w:rPr>
        <w:t xml:space="preserve"> </w:t>
      </w:r>
      <w:r w:rsidR="00A4597C">
        <w:rPr>
          <w:color w:val="000000"/>
          <w:sz w:val="22"/>
          <w:szCs w:val="22"/>
          <w:lang w:val="en-US"/>
        </w:rPr>
        <w:t>#</w:t>
      </w:r>
      <w:r w:rsidR="002664E4" w:rsidRPr="00E610BA">
        <w:rPr>
          <w:color w:val="000000"/>
          <w:sz w:val="22"/>
          <w:szCs w:val="22"/>
          <w:lang w:val="en-US"/>
        </w:rPr>
        <w:t xml:space="preserve"> 134</w:t>
      </w:r>
      <w:r w:rsidR="002664E4">
        <w:rPr>
          <w:color w:val="000000"/>
          <w:sz w:val="22"/>
          <w:szCs w:val="22"/>
          <w:lang w:val="en-US"/>
        </w:rPr>
        <w:t xml:space="preserve"> dated</w:t>
      </w:r>
      <w:r w:rsidR="002664E4" w:rsidRPr="00E610BA">
        <w:rPr>
          <w:color w:val="000000"/>
          <w:sz w:val="22"/>
          <w:szCs w:val="22"/>
          <w:lang w:val="en-US"/>
        </w:rPr>
        <w:t xml:space="preserve"> February 11, 2009 to provide </w:t>
      </w:r>
      <w:r w:rsidRPr="00E610BA">
        <w:rPr>
          <w:color w:val="000000"/>
          <w:sz w:val="22"/>
          <w:szCs w:val="22"/>
          <w:lang w:val="en-US"/>
        </w:rPr>
        <w:t xml:space="preserve">population </w:t>
      </w:r>
      <w:r>
        <w:rPr>
          <w:color w:val="000000"/>
          <w:sz w:val="22"/>
          <w:szCs w:val="22"/>
          <w:lang w:val="en-US"/>
        </w:rPr>
        <w:t>with</w:t>
      </w:r>
      <w:r w:rsidRPr="00E610BA">
        <w:rPr>
          <w:color w:val="000000"/>
          <w:sz w:val="22"/>
          <w:szCs w:val="22"/>
          <w:lang w:val="en-US"/>
        </w:rPr>
        <w:t xml:space="preserve"> the </w:t>
      </w:r>
      <w:r w:rsidR="002664E4" w:rsidRPr="00E610BA">
        <w:rPr>
          <w:color w:val="000000"/>
          <w:sz w:val="22"/>
          <w:szCs w:val="22"/>
          <w:lang w:val="en-US"/>
        </w:rPr>
        <w:t xml:space="preserve">drugs </w:t>
      </w:r>
      <w:r w:rsidR="002664E4">
        <w:rPr>
          <w:color w:val="000000"/>
          <w:sz w:val="22"/>
          <w:szCs w:val="22"/>
          <w:lang w:val="en-US"/>
        </w:rPr>
        <w:t>under the</w:t>
      </w:r>
      <w:r w:rsidR="002664E4" w:rsidRPr="00E610BA">
        <w:rPr>
          <w:color w:val="000000"/>
          <w:sz w:val="22"/>
          <w:szCs w:val="22"/>
          <w:lang w:val="en-US"/>
        </w:rPr>
        <w:t xml:space="preserve"> guaranteed free medical assistance and the promotion of pharmaceutical industry in the </w:t>
      </w:r>
      <w:r w:rsidR="002664E4">
        <w:rPr>
          <w:color w:val="000000"/>
          <w:sz w:val="22"/>
          <w:szCs w:val="22"/>
          <w:lang w:val="en-US"/>
        </w:rPr>
        <w:t>Republic of Kazakhstan</w:t>
      </w:r>
      <w:r w:rsidR="002664E4" w:rsidRPr="00E610BA">
        <w:rPr>
          <w:color w:val="000000"/>
          <w:sz w:val="22"/>
          <w:szCs w:val="22"/>
          <w:lang w:val="en-US"/>
        </w:rPr>
        <w:t xml:space="preserve"> by bringing together private and public sectors on the basis of equal </w:t>
      </w:r>
      <w:r w:rsidR="002664E4" w:rsidRPr="00E610BA">
        <w:rPr>
          <w:color w:val="000000"/>
          <w:sz w:val="22"/>
          <w:szCs w:val="22"/>
          <w:lang w:val="en-US"/>
        </w:rPr>
        <w:lastRenderedPageBreak/>
        <w:t xml:space="preserve">partnership. The strategic goal of </w:t>
      </w:r>
      <w:r w:rsidR="002664E4">
        <w:rPr>
          <w:color w:val="000000"/>
          <w:sz w:val="22"/>
          <w:szCs w:val="22"/>
          <w:lang w:val="en-US"/>
        </w:rPr>
        <w:t>SK</w:t>
      </w:r>
      <w:r w:rsidR="002664E4" w:rsidRPr="00E610BA">
        <w:rPr>
          <w:color w:val="000000"/>
          <w:sz w:val="22"/>
          <w:szCs w:val="22"/>
          <w:lang w:val="en-US"/>
        </w:rPr>
        <w:t>-</w:t>
      </w:r>
      <w:r w:rsidR="00886D27" w:rsidRPr="00886D27">
        <w:rPr>
          <w:color w:val="000000"/>
          <w:sz w:val="22"/>
          <w:szCs w:val="22"/>
          <w:lang w:val="en-US"/>
        </w:rPr>
        <w:t>Pharmaceuticals</w:t>
      </w:r>
      <w:r w:rsidR="00886D27">
        <w:rPr>
          <w:color w:val="000000"/>
          <w:sz w:val="22"/>
          <w:szCs w:val="22"/>
          <w:lang w:val="en-US"/>
        </w:rPr>
        <w:t xml:space="preserve"> </w:t>
      </w:r>
      <w:r w:rsidR="002664E4" w:rsidRPr="00E610BA">
        <w:rPr>
          <w:color w:val="000000"/>
          <w:sz w:val="22"/>
          <w:szCs w:val="22"/>
          <w:lang w:val="en-US"/>
        </w:rPr>
        <w:t xml:space="preserve">is to improve the stability and competitiveness of the pharmaceutical industry in the Republic of Kazakhstan, development of the pharmaceutical industry by consolidating the </w:t>
      </w:r>
      <w:r w:rsidR="002664E4">
        <w:rPr>
          <w:color w:val="000000"/>
          <w:sz w:val="22"/>
          <w:szCs w:val="22"/>
          <w:lang w:val="en-US"/>
        </w:rPr>
        <w:t xml:space="preserve">state </w:t>
      </w:r>
      <w:r w:rsidR="002664E4" w:rsidRPr="00E610BA">
        <w:rPr>
          <w:color w:val="000000"/>
          <w:sz w:val="22"/>
          <w:szCs w:val="22"/>
          <w:lang w:val="en-US"/>
        </w:rPr>
        <w:t>procurement of medicines.</w:t>
      </w:r>
    </w:p>
    <w:p w:rsidR="002664E4" w:rsidRPr="00E610BA" w:rsidRDefault="002664E4" w:rsidP="002664E4">
      <w:pPr>
        <w:tabs>
          <w:tab w:val="left" w:pos="284"/>
        </w:tabs>
        <w:spacing w:line="276" w:lineRule="auto"/>
        <w:ind w:left="-709" w:firstLine="709"/>
        <w:jc w:val="both"/>
        <w:rPr>
          <w:color w:val="000000"/>
          <w:sz w:val="22"/>
          <w:szCs w:val="22"/>
          <w:lang w:val="en-US"/>
        </w:rPr>
      </w:pPr>
      <w:r w:rsidRPr="00E610BA">
        <w:rPr>
          <w:color w:val="000000"/>
          <w:sz w:val="22"/>
          <w:szCs w:val="22"/>
          <w:lang w:val="en-US"/>
        </w:rPr>
        <w:t xml:space="preserve">The </w:t>
      </w:r>
      <w:r>
        <w:rPr>
          <w:color w:val="000000"/>
          <w:sz w:val="22"/>
          <w:szCs w:val="22"/>
          <w:lang w:val="en-US"/>
        </w:rPr>
        <w:t>main</w:t>
      </w:r>
      <w:r w:rsidRPr="00E610BA">
        <w:rPr>
          <w:color w:val="000000"/>
          <w:sz w:val="22"/>
          <w:szCs w:val="22"/>
          <w:lang w:val="en-US"/>
        </w:rPr>
        <w:t xml:space="preserve"> activities of </w:t>
      </w:r>
      <w:r>
        <w:rPr>
          <w:color w:val="000000"/>
          <w:sz w:val="22"/>
          <w:szCs w:val="22"/>
          <w:lang w:val="en-US"/>
        </w:rPr>
        <w:t>SK</w:t>
      </w:r>
      <w:r w:rsidRPr="00E610BA">
        <w:rPr>
          <w:color w:val="000000"/>
          <w:sz w:val="22"/>
          <w:szCs w:val="22"/>
          <w:lang w:val="en-US"/>
        </w:rPr>
        <w:t>-</w:t>
      </w:r>
      <w:r w:rsidR="00886D27" w:rsidRPr="00886D27">
        <w:rPr>
          <w:color w:val="000000"/>
          <w:sz w:val="22"/>
          <w:szCs w:val="22"/>
          <w:lang w:val="en-US"/>
        </w:rPr>
        <w:t>Pharmaceuticals</w:t>
      </w:r>
      <w:r w:rsidR="00886D27">
        <w:rPr>
          <w:color w:val="000000"/>
          <w:sz w:val="22"/>
          <w:szCs w:val="22"/>
          <w:lang w:val="en-US"/>
        </w:rPr>
        <w:t xml:space="preserve"> </w:t>
      </w:r>
      <w:r w:rsidRPr="00E610BA">
        <w:rPr>
          <w:color w:val="000000"/>
          <w:sz w:val="22"/>
          <w:szCs w:val="22"/>
          <w:lang w:val="en-US"/>
        </w:rPr>
        <w:t>are</w:t>
      </w:r>
      <w:r>
        <w:rPr>
          <w:color w:val="000000"/>
          <w:sz w:val="22"/>
          <w:szCs w:val="22"/>
          <w:lang w:val="en-US"/>
        </w:rPr>
        <w:t xml:space="preserve"> as follows</w:t>
      </w:r>
      <w:r w:rsidRPr="00E610BA">
        <w:rPr>
          <w:color w:val="000000"/>
          <w:sz w:val="22"/>
          <w:szCs w:val="22"/>
          <w:lang w:val="en-US"/>
        </w:rPr>
        <w:t>:</w:t>
      </w:r>
    </w:p>
    <w:p w:rsidR="002664E4" w:rsidRPr="00E610BA" w:rsidRDefault="002664E4" w:rsidP="002664E4">
      <w:pPr>
        <w:tabs>
          <w:tab w:val="left" w:pos="284"/>
        </w:tabs>
        <w:spacing w:line="276" w:lineRule="auto"/>
        <w:ind w:left="-709" w:firstLine="709"/>
        <w:jc w:val="both"/>
        <w:rPr>
          <w:color w:val="000000"/>
          <w:sz w:val="22"/>
          <w:szCs w:val="22"/>
          <w:lang w:val="en-US"/>
        </w:rPr>
      </w:pPr>
      <w:proofErr w:type="gramStart"/>
      <w:r w:rsidRPr="00E610BA">
        <w:rPr>
          <w:color w:val="000000"/>
          <w:sz w:val="22"/>
          <w:szCs w:val="22"/>
          <w:lang w:val="en-US"/>
        </w:rPr>
        <w:t xml:space="preserve">• </w:t>
      </w:r>
      <w:r>
        <w:rPr>
          <w:color w:val="000000"/>
          <w:sz w:val="22"/>
          <w:szCs w:val="22"/>
          <w:lang w:val="en-US"/>
        </w:rPr>
        <w:t xml:space="preserve"> </w:t>
      </w:r>
      <w:r w:rsidRPr="00E610BA">
        <w:rPr>
          <w:color w:val="000000"/>
          <w:sz w:val="22"/>
          <w:szCs w:val="22"/>
          <w:lang w:val="en-US"/>
        </w:rPr>
        <w:t>organization</w:t>
      </w:r>
      <w:proofErr w:type="gramEnd"/>
      <w:r w:rsidRPr="00E610BA">
        <w:rPr>
          <w:color w:val="000000"/>
          <w:sz w:val="22"/>
          <w:szCs w:val="22"/>
          <w:lang w:val="en-US"/>
        </w:rPr>
        <w:t xml:space="preserve"> of open bidding for the procurement of medicines </w:t>
      </w:r>
      <w:r>
        <w:rPr>
          <w:color w:val="000000"/>
          <w:sz w:val="22"/>
          <w:szCs w:val="22"/>
          <w:lang w:val="en-US"/>
        </w:rPr>
        <w:t>under the</w:t>
      </w:r>
      <w:r w:rsidRPr="00E610BA">
        <w:rPr>
          <w:color w:val="000000"/>
          <w:sz w:val="22"/>
          <w:szCs w:val="22"/>
          <w:lang w:val="en-US"/>
        </w:rPr>
        <w:t xml:space="preserve"> guaranteed free medical care;</w:t>
      </w:r>
    </w:p>
    <w:p w:rsidR="002664E4" w:rsidRPr="00E610BA" w:rsidRDefault="002664E4" w:rsidP="002664E4">
      <w:pPr>
        <w:tabs>
          <w:tab w:val="left" w:pos="284"/>
        </w:tabs>
        <w:spacing w:line="276" w:lineRule="auto"/>
        <w:ind w:left="-709" w:firstLine="709"/>
        <w:jc w:val="both"/>
        <w:rPr>
          <w:color w:val="000000"/>
          <w:sz w:val="22"/>
          <w:szCs w:val="22"/>
          <w:lang w:val="en-US"/>
        </w:rPr>
      </w:pPr>
      <w:r w:rsidRPr="00E610BA">
        <w:rPr>
          <w:color w:val="000000"/>
          <w:sz w:val="22"/>
          <w:szCs w:val="22"/>
          <w:lang w:val="en-US"/>
        </w:rPr>
        <w:t xml:space="preserve">• </w:t>
      </w:r>
      <w:proofErr w:type="gramStart"/>
      <w:r>
        <w:rPr>
          <w:color w:val="000000"/>
          <w:sz w:val="22"/>
          <w:szCs w:val="22"/>
          <w:lang w:val="en-US"/>
        </w:rPr>
        <w:t>organization</w:t>
      </w:r>
      <w:proofErr w:type="gramEnd"/>
      <w:r>
        <w:rPr>
          <w:color w:val="000000"/>
          <w:sz w:val="22"/>
          <w:szCs w:val="22"/>
          <w:lang w:val="en-US"/>
        </w:rPr>
        <w:t xml:space="preserve"> of</w:t>
      </w:r>
      <w:r w:rsidRPr="00E610BA">
        <w:rPr>
          <w:color w:val="000000"/>
          <w:sz w:val="22"/>
          <w:szCs w:val="22"/>
          <w:lang w:val="en-US"/>
        </w:rPr>
        <w:t xml:space="preserve"> storage of medicines in accordance with the </w:t>
      </w:r>
      <w:r>
        <w:rPr>
          <w:color w:val="000000"/>
          <w:sz w:val="22"/>
          <w:szCs w:val="22"/>
          <w:lang w:val="en-US"/>
        </w:rPr>
        <w:t xml:space="preserve">requirements of </w:t>
      </w:r>
      <w:r w:rsidRPr="00E610BA">
        <w:rPr>
          <w:color w:val="000000"/>
          <w:sz w:val="22"/>
          <w:szCs w:val="22"/>
          <w:lang w:val="en-US"/>
        </w:rPr>
        <w:t>appropriate distribution practices and legislation of the Republic of Kazakhstan;</w:t>
      </w:r>
    </w:p>
    <w:p w:rsidR="002664E4" w:rsidRPr="00E610BA" w:rsidRDefault="002664E4" w:rsidP="002664E4">
      <w:pPr>
        <w:tabs>
          <w:tab w:val="left" w:pos="284"/>
        </w:tabs>
        <w:spacing w:line="276" w:lineRule="auto"/>
        <w:ind w:left="-709" w:firstLine="709"/>
        <w:jc w:val="both"/>
        <w:rPr>
          <w:color w:val="000000"/>
          <w:sz w:val="22"/>
          <w:szCs w:val="22"/>
          <w:lang w:val="en-US"/>
        </w:rPr>
      </w:pPr>
      <w:r w:rsidRPr="00E610BA">
        <w:rPr>
          <w:color w:val="000000"/>
          <w:sz w:val="22"/>
          <w:szCs w:val="22"/>
          <w:lang w:val="en-US"/>
        </w:rPr>
        <w:t xml:space="preserve">• </w:t>
      </w:r>
      <w:proofErr w:type="gramStart"/>
      <w:r w:rsidRPr="00E610BA">
        <w:rPr>
          <w:color w:val="000000"/>
          <w:sz w:val="22"/>
          <w:szCs w:val="22"/>
          <w:lang w:val="en-US"/>
        </w:rPr>
        <w:t>organization</w:t>
      </w:r>
      <w:proofErr w:type="gramEnd"/>
      <w:r w:rsidRPr="00E610BA">
        <w:rPr>
          <w:color w:val="000000"/>
          <w:sz w:val="22"/>
          <w:szCs w:val="22"/>
          <w:lang w:val="en-US"/>
        </w:rPr>
        <w:t xml:space="preserve"> of logistics processes of medical </w:t>
      </w:r>
      <w:r w:rsidR="00953640">
        <w:rPr>
          <w:color w:val="000000"/>
          <w:sz w:val="22"/>
          <w:szCs w:val="22"/>
          <w:lang w:val="en-US"/>
        </w:rPr>
        <w:t>products</w:t>
      </w:r>
      <w:r w:rsidRPr="00E610BA">
        <w:rPr>
          <w:color w:val="000000"/>
          <w:sz w:val="22"/>
          <w:szCs w:val="22"/>
          <w:lang w:val="en-US"/>
        </w:rPr>
        <w:t>;</w:t>
      </w:r>
    </w:p>
    <w:p w:rsidR="002664E4" w:rsidRPr="00F80768" w:rsidRDefault="002664E4" w:rsidP="002664E4">
      <w:pPr>
        <w:tabs>
          <w:tab w:val="left" w:pos="284"/>
        </w:tabs>
        <w:spacing w:line="276" w:lineRule="auto"/>
        <w:ind w:left="-709" w:firstLine="709"/>
        <w:jc w:val="both"/>
        <w:rPr>
          <w:color w:val="000000"/>
          <w:sz w:val="22"/>
          <w:szCs w:val="22"/>
          <w:lang w:val="en-US"/>
        </w:rPr>
      </w:pPr>
      <w:r>
        <w:rPr>
          <w:color w:val="000000"/>
          <w:sz w:val="22"/>
          <w:szCs w:val="22"/>
          <w:lang w:val="en-US"/>
        </w:rPr>
        <w:t>• c</w:t>
      </w:r>
      <w:r w:rsidRPr="00E610BA">
        <w:rPr>
          <w:color w:val="000000"/>
          <w:sz w:val="22"/>
          <w:szCs w:val="22"/>
          <w:lang w:val="en-US"/>
        </w:rPr>
        <w:t xml:space="preserve">reation of </w:t>
      </w:r>
      <w:r>
        <w:rPr>
          <w:color w:val="000000"/>
          <w:sz w:val="22"/>
          <w:szCs w:val="22"/>
          <w:lang w:val="en-US"/>
        </w:rPr>
        <w:t>the</w:t>
      </w:r>
      <w:r w:rsidRPr="00E610BA">
        <w:rPr>
          <w:color w:val="000000"/>
          <w:sz w:val="22"/>
          <w:szCs w:val="22"/>
          <w:lang w:val="en-US"/>
        </w:rPr>
        <w:t xml:space="preserve"> information system for the integration of logistics processes </w:t>
      </w:r>
      <w:r>
        <w:rPr>
          <w:color w:val="000000"/>
          <w:sz w:val="22"/>
          <w:szCs w:val="22"/>
          <w:lang w:val="en-US"/>
        </w:rPr>
        <w:t>of a Single</w:t>
      </w:r>
      <w:r w:rsidRPr="00E610BA">
        <w:rPr>
          <w:color w:val="000000"/>
          <w:sz w:val="22"/>
          <w:szCs w:val="22"/>
          <w:lang w:val="en-US"/>
        </w:rPr>
        <w:t xml:space="preserve"> distributor, customer and suppliers, as well as to obtain current information on turnover, cash balances.</w:t>
      </w:r>
    </w:p>
    <w:p w:rsidR="00627857" w:rsidRPr="00334790" w:rsidRDefault="00627857" w:rsidP="002664E4">
      <w:pPr>
        <w:tabs>
          <w:tab w:val="left" w:pos="284"/>
        </w:tabs>
        <w:spacing w:line="276" w:lineRule="auto"/>
        <w:ind w:left="-709" w:firstLine="709"/>
        <w:jc w:val="both"/>
        <w:rPr>
          <w:b/>
          <w:color w:val="000000"/>
          <w:sz w:val="22"/>
          <w:szCs w:val="22"/>
          <w:lang w:val="en-US"/>
        </w:rPr>
      </w:pPr>
    </w:p>
    <w:p w:rsidR="00A41C72" w:rsidRPr="00334790" w:rsidRDefault="00A41C72" w:rsidP="002664E4">
      <w:pPr>
        <w:tabs>
          <w:tab w:val="left" w:pos="284"/>
        </w:tabs>
        <w:spacing w:line="276" w:lineRule="auto"/>
        <w:ind w:left="-709" w:firstLine="709"/>
        <w:jc w:val="both"/>
        <w:rPr>
          <w:b/>
          <w:color w:val="000000"/>
          <w:sz w:val="22"/>
          <w:szCs w:val="22"/>
          <w:lang w:val="en-US"/>
        </w:rPr>
      </w:pPr>
    </w:p>
    <w:p w:rsidR="002664E4" w:rsidRPr="00AC6810" w:rsidRDefault="002664E4" w:rsidP="002664E4">
      <w:pPr>
        <w:pStyle w:val="a3"/>
        <w:numPr>
          <w:ilvl w:val="0"/>
          <w:numId w:val="2"/>
        </w:numPr>
        <w:tabs>
          <w:tab w:val="left" w:pos="426"/>
          <w:tab w:val="left" w:pos="993"/>
        </w:tabs>
        <w:autoSpaceDE w:val="0"/>
        <w:autoSpaceDN w:val="0"/>
        <w:adjustRightInd w:val="0"/>
        <w:ind w:hanging="1287"/>
        <w:jc w:val="both"/>
        <w:rPr>
          <w:b/>
          <w:sz w:val="22"/>
          <w:szCs w:val="22"/>
          <w:lang w:val="en-US"/>
        </w:rPr>
      </w:pPr>
      <w:r>
        <w:rPr>
          <w:b/>
          <w:sz w:val="22"/>
          <w:szCs w:val="22"/>
          <w:lang w:val="en-US"/>
        </w:rPr>
        <w:t>Operating Results</w:t>
      </w:r>
      <w:r w:rsidR="00886D27">
        <w:rPr>
          <w:b/>
          <w:sz w:val="22"/>
          <w:szCs w:val="22"/>
          <w:lang w:val="en-US"/>
        </w:rPr>
        <w:t xml:space="preserve"> and capital costs</w:t>
      </w:r>
    </w:p>
    <w:p w:rsidR="002664E4" w:rsidRPr="00AC6810" w:rsidRDefault="002664E4" w:rsidP="002664E4">
      <w:pPr>
        <w:tabs>
          <w:tab w:val="left" w:pos="426"/>
          <w:tab w:val="left" w:pos="993"/>
        </w:tabs>
        <w:autoSpaceDE w:val="0"/>
        <w:autoSpaceDN w:val="0"/>
        <w:adjustRightInd w:val="0"/>
        <w:ind w:left="-709" w:firstLine="709"/>
        <w:jc w:val="both"/>
        <w:rPr>
          <w:b/>
          <w:bCs/>
          <w:color w:val="000000"/>
          <w:sz w:val="22"/>
          <w:szCs w:val="22"/>
          <w:lang w:val="en-US"/>
        </w:rPr>
      </w:pPr>
    </w:p>
    <w:p w:rsidR="002664E4" w:rsidRPr="00A41C72" w:rsidRDefault="002664E4" w:rsidP="002664E4">
      <w:pPr>
        <w:pStyle w:val="a3"/>
        <w:numPr>
          <w:ilvl w:val="1"/>
          <w:numId w:val="2"/>
        </w:numPr>
        <w:tabs>
          <w:tab w:val="left" w:pos="426"/>
          <w:tab w:val="left" w:pos="993"/>
        </w:tabs>
        <w:autoSpaceDE w:val="0"/>
        <w:autoSpaceDN w:val="0"/>
        <w:adjustRightInd w:val="0"/>
        <w:jc w:val="both"/>
        <w:rPr>
          <w:rFonts w:ascii="Arial" w:hAnsi="Arial" w:cs="Arial"/>
          <w:b/>
          <w:bCs/>
          <w:color w:val="000000"/>
          <w:sz w:val="22"/>
          <w:szCs w:val="22"/>
          <w:lang w:val="en-US"/>
        </w:rPr>
      </w:pPr>
      <w:r w:rsidRPr="00627857">
        <w:rPr>
          <w:b/>
          <w:bCs/>
          <w:color w:val="000000"/>
          <w:sz w:val="22"/>
          <w:szCs w:val="22"/>
          <w:lang w:val="en-US"/>
        </w:rPr>
        <w:t>Consolidated financial indicators</w:t>
      </w:r>
    </w:p>
    <w:p w:rsidR="00A41C72" w:rsidRPr="00627857" w:rsidRDefault="00A41C72" w:rsidP="00A41C72">
      <w:pPr>
        <w:pStyle w:val="a3"/>
        <w:tabs>
          <w:tab w:val="left" w:pos="426"/>
          <w:tab w:val="left" w:pos="993"/>
        </w:tabs>
        <w:autoSpaceDE w:val="0"/>
        <w:autoSpaceDN w:val="0"/>
        <w:adjustRightInd w:val="0"/>
        <w:ind w:left="1207"/>
        <w:jc w:val="both"/>
        <w:rPr>
          <w:rFonts w:ascii="Arial" w:hAnsi="Arial" w:cs="Arial"/>
          <w:b/>
          <w:bCs/>
          <w:color w:val="000000"/>
          <w:sz w:val="22"/>
          <w:szCs w:val="22"/>
          <w:lang w:val="en-US"/>
        </w:rPr>
      </w:pPr>
    </w:p>
    <w:tbl>
      <w:tblPr>
        <w:tblW w:w="9782" w:type="dxa"/>
        <w:tblInd w:w="-637" w:type="dxa"/>
        <w:tblLook w:val="04A0" w:firstRow="1" w:lastRow="0" w:firstColumn="1" w:lastColumn="0" w:noHBand="0" w:noVBand="1"/>
      </w:tblPr>
      <w:tblGrid>
        <w:gridCol w:w="3261"/>
        <w:gridCol w:w="1418"/>
        <w:gridCol w:w="1417"/>
        <w:gridCol w:w="1418"/>
        <w:gridCol w:w="1134"/>
        <w:gridCol w:w="1134"/>
      </w:tblGrid>
      <w:tr w:rsidR="002664E4" w:rsidRPr="00791A5C" w:rsidTr="00627857">
        <w:trPr>
          <w:trHeight w:val="21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4E4" w:rsidRPr="00791A5C" w:rsidRDefault="002664E4" w:rsidP="00770BC8">
            <w:pPr>
              <w:jc w:val="center"/>
              <w:rPr>
                <w:b/>
                <w:bCs/>
                <w:color w:val="000000"/>
                <w:sz w:val="18"/>
                <w:szCs w:val="18"/>
                <w:lang w:val="en-US"/>
              </w:rPr>
            </w:pPr>
            <w:r w:rsidRPr="00791A5C">
              <w:rPr>
                <w:b/>
                <w:bCs/>
                <w:color w:val="000000"/>
                <w:sz w:val="18"/>
                <w:szCs w:val="18"/>
                <w:lang w:val="en-US"/>
              </w:rPr>
              <w:t xml:space="preserve">Name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664E4" w:rsidRPr="00791A5C" w:rsidRDefault="002664E4" w:rsidP="00770BC8">
            <w:pPr>
              <w:jc w:val="center"/>
              <w:rPr>
                <w:b/>
                <w:bCs/>
                <w:color w:val="000000"/>
                <w:sz w:val="18"/>
                <w:szCs w:val="18"/>
                <w:lang w:val="en-US"/>
              </w:rPr>
            </w:pPr>
            <w:r w:rsidRPr="00791A5C">
              <w:rPr>
                <w:b/>
                <w:bCs/>
                <w:color w:val="000000"/>
                <w:sz w:val="18"/>
                <w:szCs w:val="18"/>
                <w:lang w:val="en-US"/>
              </w:rPr>
              <w:t>Unit of measure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664E4" w:rsidRPr="00791A5C" w:rsidRDefault="00AC6810" w:rsidP="00770BC8">
            <w:pPr>
              <w:jc w:val="center"/>
              <w:rPr>
                <w:b/>
                <w:bCs/>
                <w:color w:val="000000"/>
                <w:sz w:val="18"/>
                <w:szCs w:val="18"/>
                <w:lang w:val="en-US"/>
              </w:rPr>
            </w:pPr>
            <w:r w:rsidRPr="00791A5C">
              <w:rPr>
                <w:b/>
                <w:bCs/>
                <w:color w:val="000000"/>
                <w:sz w:val="18"/>
                <w:szCs w:val="18"/>
                <w:lang w:val="en-US"/>
              </w:rPr>
              <w:t>H1 2012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664E4" w:rsidRPr="00791A5C" w:rsidRDefault="00AC6810" w:rsidP="00770BC8">
            <w:pPr>
              <w:jc w:val="center"/>
              <w:rPr>
                <w:b/>
                <w:bCs/>
                <w:color w:val="000000"/>
                <w:sz w:val="18"/>
                <w:szCs w:val="18"/>
                <w:lang w:val="en-US"/>
              </w:rPr>
            </w:pPr>
            <w:r w:rsidRPr="00791A5C">
              <w:rPr>
                <w:b/>
                <w:bCs/>
                <w:color w:val="000000"/>
                <w:sz w:val="18"/>
                <w:szCs w:val="18"/>
                <w:lang w:val="en-US"/>
              </w:rPr>
              <w:t>H1 2011</w:t>
            </w:r>
            <w:r w:rsidR="002664E4" w:rsidRPr="00791A5C">
              <w:rPr>
                <w:b/>
                <w:bCs/>
                <w:color w:val="000000"/>
                <w:sz w:val="18"/>
                <w:szCs w:val="18"/>
              </w:rPr>
              <w:t xml:space="preserve"> </w:t>
            </w:r>
            <w:r w:rsidR="002664E4" w:rsidRPr="00791A5C">
              <w:rPr>
                <w:b/>
                <w:bCs/>
                <w:color w:val="000000"/>
                <w:sz w:val="18"/>
                <w:szCs w:val="18"/>
                <w:lang w:val="en-US"/>
              </w:rPr>
              <w:t xml:space="preserve"> </w:t>
            </w:r>
          </w:p>
        </w:tc>
        <w:tc>
          <w:tcPr>
            <w:tcW w:w="1134" w:type="dxa"/>
            <w:tcBorders>
              <w:top w:val="single" w:sz="4" w:space="0" w:color="auto"/>
              <w:left w:val="nil"/>
              <w:bottom w:val="single" w:sz="4" w:space="0" w:color="auto"/>
              <w:right w:val="single" w:sz="4" w:space="0" w:color="auto"/>
            </w:tcBorders>
            <w:vAlign w:val="center"/>
          </w:tcPr>
          <w:p w:rsidR="002664E4" w:rsidRPr="00791A5C" w:rsidRDefault="002664E4" w:rsidP="00770BC8">
            <w:pPr>
              <w:jc w:val="center"/>
              <w:rPr>
                <w:b/>
                <w:bCs/>
                <w:color w:val="000000"/>
                <w:sz w:val="18"/>
                <w:szCs w:val="18"/>
                <w:lang w:val="en-US"/>
              </w:rPr>
            </w:pPr>
            <w:r w:rsidRPr="00791A5C">
              <w:rPr>
                <w:b/>
                <w:bCs/>
                <w:color w:val="000000"/>
                <w:sz w:val="18"/>
                <w:szCs w:val="18"/>
                <w:lang w:val="en-US"/>
              </w:rPr>
              <w:t>Change</w:t>
            </w:r>
            <w:r w:rsidR="00AC6810" w:rsidRPr="00791A5C">
              <w:rPr>
                <w:b/>
                <w:bCs/>
                <w:color w:val="000000"/>
                <w:sz w:val="18"/>
                <w:szCs w:val="18"/>
                <w:lang w:val="en-US"/>
              </w:rPr>
              <w:t xml:space="preserve"> in </w:t>
            </w:r>
            <w:r w:rsidR="000A43AE" w:rsidRPr="00791A5C">
              <w:rPr>
                <w:b/>
                <w:bCs/>
                <w:color w:val="000000"/>
                <w:sz w:val="18"/>
                <w:szCs w:val="18"/>
                <w:lang w:val="en-US"/>
              </w:rPr>
              <w:t>billion</w:t>
            </w:r>
            <w:r w:rsidR="00AC6810" w:rsidRPr="00791A5C">
              <w:rPr>
                <w:b/>
                <w:bCs/>
                <w:color w:val="000000"/>
                <w:sz w:val="18"/>
                <w:szCs w:val="18"/>
                <w:lang w:val="en-US"/>
              </w:rPr>
              <w:t xml:space="preserve"> KZT</w:t>
            </w:r>
          </w:p>
        </w:tc>
        <w:tc>
          <w:tcPr>
            <w:tcW w:w="1134" w:type="dxa"/>
            <w:tcBorders>
              <w:top w:val="single" w:sz="4" w:space="0" w:color="auto"/>
              <w:left w:val="single" w:sz="4" w:space="0" w:color="auto"/>
              <w:bottom w:val="single" w:sz="4" w:space="0" w:color="auto"/>
              <w:right w:val="single" w:sz="4" w:space="0" w:color="auto"/>
            </w:tcBorders>
            <w:vAlign w:val="center"/>
          </w:tcPr>
          <w:p w:rsidR="002664E4" w:rsidRPr="00791A5C" w:rsidRDefault="002664E4" w:rsidP="00770BC8">
            <w:pPr>
              <w:jc w:val="center"/>
              <w:rPr>
                <w:b/>
                <w:bCs/>
                <w:color w:val="000000"/>
                <w:sz w:val="18"/>
                <w:szCs w:val="18"/>
                <w:lang w:val="en-US"/>
              </w:rPr>
            </w:pPr>
            <w:r w:rsidRPr="00791A5C">
              <w:rPr>
                <w:b/>
                <w:bCs/>
                <w:color w:val="000000"/>
                <w:sz w:val="18"/>
                <w:szCs w:val="18"/>
                <w:lang w:val="en-US"/>
              </w:rPr>
              <w:t>Change, in %</w:t>
            </w:r>
          </w:p>
        </w:tc>
      </w:tr>
      <w:tr w:rsidR="00791A5C" w:rsidRPr="00791A5C" w:rsidTr="00A41C72">
        <w:trPr>
          <w:trHeight w:val="167"/>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bCs/>
                <w:color w:val="000000"/>
                <w:sz w:val="18"/>
                <w:szCs w:val="18"/>
              </w:rPr>
            </w:pPr>
            <w:r w:rsidRPr="00791A5C">
              <w:rPr>
                <w:bCs/>
                <w:color w:val="000000"/>
                <w:sz w:val="18"/>
                <w:szCs w:val="18"/>
                <w:lang w:val="en-US"/>
              </w:rPr>
              <w:t xml:space="preserve">Consolidated </w:t>
            </w:r>
            <w:r w:rsidRPr="00791A5C">
              <w:rPr>
                <w:bCs/>
                <w:color w:val="000000"/>
                <w:sz w:val="18"/>
                <w:szCs w:val="18"/>
              </w:rPr>
              <w:t xml:space="preserve"> </w:t>
            </w:r>
            <w:r w:rsidRPr="00791A5C">
              <w:rPr>
                <w:b/>
                <w:bCs/>
                <w:color w:val="000000"/>
                <w:sz w:val="18"/>
                <w:szCs w:val="18"/>
                <w:lang w:val="en-US"/>
              </w:rPr>
              <w:t>net income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A5C" w:rsidRPr="00791A5C" w:rsidRDefault="00791A5C" w:rsidP="00770BC8">
            <w:pPr>
              <w:jc w:val="center"/>
              <w:rPr>
                <w:bCs/>
                <w:color w:val="000000"/>
                <w:sz w:val="18"/>
                <w:szCs w:val="18"/>
                <w:lang w:val="en-US"/>
              </w:rPr>
            </w:pPr>
            <w:r w:rsidRPr="00791A5C">
              <w:rPr>
                <w:bCs/>
                <w:color w:val="000000"/>
                <w:sz w:val="18"/>
                <w:szCs w:val="18"/>
                <w:lang w:val="en-US"/>
              </w:rPr>
              <w:t>KZT billion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-28,9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308,4</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-337,3</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-109,4</w:t>
            </w:r>
          </w:p>
        </w:tc>
      </w:tr>
      <w:tr w:rsidR="00791A5C" w:rsidRPr="00791A5C" w:rsidTr="00A41C72">
        <w:trPr>
          <w:trHeight w:val="38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bCs/>
                <w:color w:val="000000"/>
                <w:sz w:val="18"/>
                <w:szCs w:val="18"/>
                <w:lang w:val="en-US"/>
              </w:rPr>
            </w:pPr>
            <w:r w:rsidRPr="00791A5C">
              <w:rPr>
                <w:bCs/>
                <w:color w:val="000000"/>
                <w:sz w:val="18"/>
                <w:szCs w:val="18"/>
                <w:lang w:val="en-US"/>
              </w:rPr>
              <w:t xml:space="preserve">Consolidated  </w:t>
            </w:r>
            <w:r w:rsidRPr="00791A5C">
              <w:rPr>
                <w:b/>
                <w:bCs/>
                <w:color w:val="000000"/>
                <w:sz w:val="18"/>
                <w:szCs w:val="18"/>
                <w:lang w:val="en-US"/>
              </w:rPr>
              <w:t>net income</w:t>
            </w:r>
            <w:r w:rsidRPr="00791A5C">
              <w:rPr>
                <w:bCs/>
                <w:color w:val="000000"/>
                <w:sz w:val="18"/>
                <w:szCs w:val="18"/>
                <w:lang w:val="en-US"/>
              </w:rPr>
              <w:t xml:space="preserve"> on the share of a shareholder of a parent Company</w:t>
            </w:r>
          </w:p>
        </w:tc>
        <w:tc>
          <w:tcPr>
            <w:tcW w:w="1418" w:type="dxa"/>
            <w:tcBorders>
              <w:top w:val="single" w:sz="4" w:space="0" w:color="auto"/>
              <w:left w:val="nil"/>
              <w:bottom w:val="single" w:sz="4" w:space="0" w:color="auto"/>
              <w:right w:val="single" w:sz="4" w:space="0" w:color="auto"/>
            </w:tcBorders>
            <w:shd w:val="clear" w:color="auto" w:fill="auto"/>
            <w:hideMark/>
          </w:tcPr>
          <w:p w:rsidR="00791A5C" w:rsidRPr="00791A5C" w:rsidRDefault="00791A5C" w:rsidP="00770BC8">
            <w:pPr>
              <w:jc w:val="center"/>
              <w:rPr>
                <w:sz w:val="18"/>
                <w:szCs w:val="18"/>
              </w:rPr>
            </w:pPr>
            <w:r w:rsidRPr="00791A5C">
              <w:rPr>
                <w:bCs/>
                <w:color w:val="000000"/>
                <w:sz w:val="18"/>
                <w:szCs w:val="18"/>
                <w:lang w:val="en-US"/>
              </w:rPr>
              <w:t>KZT billion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-60,0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270,1</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-330,1</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-122,2</w:t>
            </w:r>
          </w:p>
        </w:tc>
      </w:tr>
      <w:tr w:rsidR="00791A5C" w:rsidRPr="00791A5C" w:rsidTr="00A41C72">
        <w:trPr>
          <w:trHeight w:val="136"/>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bCs/>
                <w:color w:val="000000"/>
                <w:sz w:val="18"/>
                <w:szCs w:val="18"/>
              </w:rPr>
            </w:pPr>
            <w:r w:rsidRPr="00791A5C">
              <w:rPr>
                <w:sz w:val="18"/>
                <w:szCs w:val="18"/>
                <w:lang w:val="en-US"/>
              </w:rPr>
              <w:t>EBITDA</w:t>
            </w:r>
            <w:r w:rsidRPr="00791A5C">
              <w:rPr>
                <w:rStyle w:val="af5"/>
                <w:sz w:val="18"/>
                <w:szCs w:val="18"/>
                <w:lang w:val="en-US"/>
              </w:rPr>
              <w:footnoteReference w:id="2"/>
            </w:r>
          </w:p>
        </w:tc>
        <w:tc>
          <w:tcPr>
            <w:tcW w:w="1418" w:type="dxa"/>
            <w:tcBorders>
              <w:top w:val="single" w:sz="4" w:space="0" w:color="auto"/>
              <w:left w:val="nil"/>
              <w:bottom w:val="single" w:sz="4" w:space="0" w:color="auto"/>
              <w:right w:val="single" w:sz="4" w:space="0" w:color="auto"/>
            </w:tcBorders>
            <w:shd w:val="clear" w:color="auto" w:fill="auto"/>
            <w:hideMark/>
          </w:tcPr>
          <w:p w:rsidR="00791A5C" w:rsidRPr="00791A5C" w:rsidRDefault="00791A5C" w:rsidP="00770BC8">
            <w:pPr>
              <w:jc w:val="center"/>
              <w:rPr>
                <w:sz w:val="18"/>
                <w:szCs w:val="18"/>
              </w:rPr>
            </w:pPr>
            <w:r w:rsidRPr="00791A5C">
              <w:rPr>
                <w:bCs/>
                <w:color w:val="000000"/>
                <w:sz w:val="18"/>
                <w:szCs w:val="18"/>
                <w:lang w:val="en-US"/>
              </w:rPr>
              <w:t>KZT billion</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435,3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392,8</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42,5</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10,8</w:t>
            </w:r>
          </w:p>
        </w:tc>
      </w:tr>
      <w:tr w:rsidR="00791A5C" w:rsidRPr="00791A5C" w:rsidTr="00A41C72">
        <w:trPr>
          <w:trHeight w:val="126"/>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sz w:val="18"/>
                <w:szCs w:val="18"/>
              </w:rPr>
            </w:pPr>
            <w:r w:rsidRPr="00791A5C">
              <w:rPr>
                <w:sz w:val="18"/>
                <w:szCs w:val="18"/>
                <w:lang w:val="en-US"/>
              </w:rPr>
              <w:t>EBITDA</w:t>
            </w:r>
            <w:r w:rsidRPr="00791A5C">
              <w:rPr>
                <w:sz w:val="18"/>
                <w:szCs w:val="18"/>
              </w:rPr>
              <w:t xml:space="preserve">  </w:t>
            </w:r>
            <w:r w:rsidRPr="00791A5C">
              <w:rPr>
                <w:sz w:val="18"/>
                <w:szCs w:val="18"/>
                <w:lang w:val="en-US"/>
              </w:rPr>
              <w:t>margin</w:t>
            </w:r>
            <w:r w:rsidRPr="00791A5C">
              <w:rPr>
                <w:rStyle w:val="af5"/>
                <w:sz w:val="18"/>
                <w:szCs w:val="18"/>
                <w:lang w:val="en-US"/>
              </w:rPr>
              <w:footnoteReference w:id="3"/>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A5C" w:rsidRPr="00791A5C" w:rsidRDefault="00791A5C" w:rsidP="00770BC8">
            <w:pPr>
              <w:jc w:val="center"/>
              <w:rPr>
                <w:bCs/>
                <w:color w:val="000000"/>
                <w:sz w:val="18"/>
                <w:szCs w:val="18"/>
                <w:lang w:val="en-US"/>
              </w:rPr>
            </w:pPr>
            <w:r w:rsidRPr="00791A5C">
              <w:rPr>
                <w:bCs/>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18,6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18,8</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-1,1</w:t>
            </w:r>
          </w:p>
        </w:tc>
      </w:tr>
      <w:tr w:rsidR="00791A5C" w:rsidRPr="00791A5C" w:rsidTr="00A41C72">
        <w:trPr>
          <w:trHeight w:val="74"/>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bCs/>
                <w:color w:val="000000"/>
                <w:sz w:val="18"/>
                <w:szCs w:val="18"/>
              </w:rPr>
            </w:pPr>
            <w:r w:rsidRPr="00791A5C">
              <w:rPr>
                <w:bCs/>
                <w:color w:val="000000"/>
                <w:sz w:val="18"/>
                <w:szCs w:val="18"/>
              </w:rPr>
              <w:t>ROACE</w:t>
            </w:r>
            <w:r w:rsidRPr="00791A5C">
              <w:rPr>
                <w:rStyle w:val="af5"/>
                <w:bCs/>
                <w:color w:val="000000"/>
                <w:sz w:val="18"/>
                <w:szCs w:val="18"/>
              </w:rPr>
              <w:footnoteReference w:id="4"/>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A5C" w:rsidRPr="00791A5C" w:rsidRDefault="00791A5C" w:rsidP="00770BC8">
            <w:pPr>
              <w:jc w:val="center"/>
              <w:rPr>
                <w:bCs/>
                <w:color w:val="000000"/>
                <w:sz w:val="18"/>
                <w:szCs w:val="18"/>
              </w:rPr>
            </w:pPr>
            <w:r w:rsidRPr="00791A5C">
              <w:rPr>
                <w:bCs/>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4,1</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-5,0</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-123,2</w:t>
            </w:r>
          </w:p>
        </w:tc>
      </w:tr>
      <w:tr w:rsidR="00791A5C" w:rsidRPr="00791A5C" w:rsidTr="00A41C72">
        <w:trPr>
          <w:trHeight w:val="148"/>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A5C" w:rsidRPr="00791A5C" w:rsidRDefault="00791A5C" w:rsidP="00770BC8">
            <w:pPr>
              <w:rPr>
                <w:bCs/>
                <w:color w:val="000000"/>
                <w:sz w:val="18"/>
                <w:szCs w:val="18"/>
              </w:rPr>
            </w:pPr>
            <w:r w:rsidRPr="00791A5C">
              <w:rPr>
                <w:bCs/>
                <w:color w:val="000000"/>
                <w:sz w:val="18"/>
                <w:szCs w:val="18"/>
              </w:rPr>
              <w:t>ROA</w:t>
            </w:r>
            <w:r w:rsidRPr="00791A5C">
              <w:rPr>
                <w:rStyle w:val="af5"/>
                <w:bCs/>
                <w:color w:val="000000"/>
                <w:sz w:val="18"/>
                <w:szCs w:val="18"/>
              </w:rPr>
              <w:footnoteReference w:id="5"/>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1A5C" w:rsidRPr="00791A5C" w:rsidRDefault="00791A5C" w:rsidP="00770BC8">
            <w:pPr>
              <w:jc w:val="center"/>
              <w:rPr>
                <w:bCs/>
                <w:color w:val="000000"/>
                <w:sz w:val="18"/>
                <w:szCs w:val="18"/>
              </w:rPr>
            </w:pPr>
            <w:r w:rsidRPr="00791A5C">
              <w:rPr>
                <w:bCs/>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-0,2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91A5C" w:rsidRPr="00791A5C" w:rsidRDefault="00791A5C" w:rsidP="00791A5C">
            <w:pPr>
              <w:jc w:val="center"/>
              <w:rPr>
                <w:sz w:val="18"/>
                <w:szCs w:val="18"/>
              </w:rPr>
            </w:pPr>
            <w:r w:rsidRPr="00791A5C">
              <w:rPr>
                <w:sz w:val="18"/>
                <w:szCs w:val="18"/>
              </w:rPr>
              <w:t>2,4</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-2,6</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-110,6</w:t>
            </w:r>
          </w:p>
        </w:tc>
      </w:tr>
      <w:tr w:rsidR="00791A5C" w:rsidRPr="00791A5C" w:rsidTr="00627857">
        <w:trPr>
          <w:trHeight w:val="13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A5C" w:rsidRPr="00791A5C" w:rsidRDefault="00791A5C" w:rsidP="00770BC8">
            <w:pPr>
              <w:rPr>
                <w:bCs/>
                <w:color w:val="000000"/>
                <w:sz w:val="18"/>
                <w:szCs w:val="18"/>
                <w:lang w:val="en-US"/>
              </w:rPr>
            </w:pPr>
            <w:r w:rsidRPr="00791A5C">
              <w:rPr>
                <w:bCs/>
                <w:color w:val="000000"/>
                <w:sz w:val="18"/>
                <w:szCs w:val="18"/>
              </w:rPr>
              <w:t>ROE</w:t>
            </w:r>
            <w:r w:rsidRPr="00791A5C">
              <w:rPr>
                <w:rStyle w:val="af5"/>
                <w:bCs/>
                <w:color w:val="000000"/>
                <w:sz w:val="18"/>
                <w:szCs w:val="18"/>
              </w:rPr>
              <w:footnoteReference w:id="6"/>
            </w:r>
          </w:p>
        </w:tc>
        <w:tc>
          <w:tcPr>
            <w:tcW w:w="1418" w:type="dxa"/>
            <w:tcBorders>
              <w:top w:val="single" w:sz="4" w:space="0" w:color="auto"/>
              <w:left w:val="nil"/>
              <w:bottom w:val="single" w:sz="4" w:space="0" w:color="auto"/>
              <w:right w:val="single" w:sz="4" w:space="0" w:color="auto"/>
            </w:tcBorders>
            <w:shd w:val="clear" w:color="auto" w:fill="auto"/>
            <w:vAlign w:val="center"/>
          </w:tcPr>
          <w:p w:rsidR="00791A5C" w:rsidRPr="00791A5C" w:rsidRDefault="00791A5C" w:rsidP="00770BC8">
            <w:pPr>
              <w:jc w:val="center"/>
              <w:rPr>
                <w:bCs/>
                <w:color w:val="000000"/>
                <w:sz w:val="18"/>
                <w:szCs w:val="18"/>
                <w:lang w:val="en-US"/>
              </w:rPr>
            </w:pPr>
            <w:r w:rsidRPr="00791A5C">
              <w:rPr>
                <w:bCs/>
                <w:color w:val="000000"/>
                <w:sz w:val="18"/>
                <w:szCs w:val="18"/>
                <w:lang w:val="en-US"/>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91A5C" w:rsidRPr="00791A5C" w:rsidRDefault="00791A5C" w:rsidP="00791A5C">
            <w:pPr>
              <w:jc w:val="center"/>
              <w:rPr>
                <w:sz w:val="18"/>
                <w:szCs w:val="18"/>
              </w:rPr>
            </w:pPr>
            <w:r w:rsidRPr="00791A5C">
              <w:rPr>
                <w:sz w:val="18"/>
                <w:szCs w:val="18"/>
              </w:rPr>
              <w:t>-0,5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91A5C" w:rsidRPr="00791A5C" w:rsidRDefault="00791A5C" w:rsidP="00791A5C">
            <w:pPr>
              <w:jc w:val="center"/>
              <w:rPr>
                <w:sz w:val="18"/>
                <w:szCs w:val="18"/>
              </w:rPr>
            </w:pPr>
            <w:r w:rsidRPr="00791A5C">
              <w:rPr>
                <w:sz w:val="18"/>
                <w:szCs w:val="18"/>
              </w:rPr>
              <w:t>5,5</w:t>
            </w:r>
          </w:p>
        </w:tc>
        <w:tc>
          <w:tcPr>
            <w:tcW w:w="1134" w:type="dxa"/>
            <w:tcBorders>
              <w:top w:val="single" w:sz="4" w:space="0" w:color="auto"/>
              <w:left w:val="nil"/>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tcPr>
          <w:p w:rsidR="00791A5C" w:rsidRPr="00791A5C" w:rsidRDefault="00791A5C" w:rsidP="00791A5C">
            <w:pPr>
              <w:jc w:val="center"/>
              <w:rPr>
                <w:sz w:val="18"/>
                <w:szCs w:val="18"/>
              </w:rPr>
            </w:pPr>
            <w:r w:rsidRPr="00791A5C">
              <w:rPr>
                <w:sz w:val="18"/>
                <w:szCs w:val="18"/>
              </w:rPr>
              <w:t>-108,5</w:t>
            </w:r>
          </w:p>
        </w:tc>
      </w:tr>
    </w:tbl>
    <w:p w:rsidR="002664E4" w:rsidRDefault="002664E4" w:rsidP="002664E4">
      <w:pPr>
        <w:tabs>
          <w:tab w:val="left" w:pos="426"/>
          <w:tab w:val="left" w:pos="993"/>
        </w:tabs>
        <w:autoSpaceDE w:val="0"/>
        <w:autoSpaceDN w:val="0"/>
        <w:adjustRightInd w:val="0"/>
        <w:ind w:left="-709" w:firstLine="709"/>
        <w:jc w:val="both"/>
        <w:rPr>
          <w:b/>
          <w:bCs/>
          <w:color w:val="000000"/>
          <w:sz w:val="22"/>
          <w:szCs w:val="22"/>
          <w:lang w:val="en-US"/>
        </w:rPr>
      </w:pPr>
      <w:r w:rsidRPr="008252D9">
        <w:rPr>
          <w:b/>
          <w:bCs/>
          <w:color w:val="000000"/>
          <w:sz w:val="22"/>
          <w:szCs w:val="22"/>
          <w:lang w:val="en-US"/>
        </w:rPr>
        <w:t>The main items of gross income</w:t>
      </w:r>
    </w:p>
    <w:p w:rsidR="00627857" w:rsidRPr="008252D9" w:rsidRDefault="00627857" w:rsidP="002664E4">
      <w:pPr>
        <w:tabs>
          <w:tab w:val="left" w:pos="426"/>
          <w:tab w:val="left" w:pos="993"/>
        </w:tabs>
        <w:autoSpaceDE w:val="0"/>
        <w:autoSpaceDN w:val="0"/>
        <w:adjustRightInd w:val="0"/>
        <w:ind w:left="-709" w:firstLine="709"/>
        <w:jc w:val="both"/>
        <w:rPr>
          <w:b/>
          <w:bCs/>
          <w:color w:val="000000"/>
          <w:sz w:val="22"/>
          <w:szCs w:val="22"/>
          <w:highlight w:val="red"/>
          <w:lang w:val="en-US"/>
        </w:rPr>
      </w:pPr>
    </w:p>
    <w:tbl>
      <w:tblPr>
        <w:tblW w:w="10206" w:type="dxa"/>
        <w:tblInd w:w="-8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68"/>
        <w:gridCol w:w="992"/>
        <w:gridCol w:w="1135"/>
        <w:gridCol w:w="851"/>
        <w:gridCol w:w="992"/>
        <w:gridCol w:w="1133"/>
        <w:gridCol w:w="851"/>
        <w:gridCol w:w="993"/>
        <w:gridCol w:w="991"/>
      </w:tblGrid>
      <w:tr w:rsidR="002664E4" w:rsidRPr="00E846B2" w:rsidTr="000E2F90">
        <w:trPr>
          <w:trHeight w:val="238"/>
        </w:trPr>
        <w:tc>
          <w:tcPr>
            <w:tcW w:w="2268" w:type="dxa"/>
            <w:vMerge w:val="restart"/>
            <w:shd w:val="clear" w:color="000000" w:fill="auto"/>
            <w:vAlign w:val="center"/>
          </w:tcPr>
          <w:p w:rsidR="002664E4" w:rsidRPr="00E846B2" w:rsidRDefault="002664E4" w:rsidP="00770BC8">
            <w:pPr>
              <w:tabs>
                <w:tab w:val="left" w:pos="426"/>
              </w:tabs>
              <w:jc w:val="center"/>
              <w:rPr>
                <w:b/>
                <w:bCs/>
                <w:color w:val="000000"/>
                <w:sz w:val="18"/>
                <w:szCs w:val="18"/>
                <w:lang w:val="en-US"/>
              </w:rPr>
            </w:pPr>
            <w:r w:rsidRPr="00E846B2">
              <w:rPr>
                <w:b/>
                <w:bCs/>
                <w:color w:val="000000"/>
                <w:sz w:val="18"/>
                <w:szCs w:val="18"/>
                <w:lang w:val="en-US"/>
              </w:rPr>
              <w:t>Name</w:t>
            </w:r>
          </w:p>
        </w:tc>
        <w:tc>
          <w:tcPr>
            <w:tcW w:w="2127" w:type="dxa"/>
            <w:gridSpan w:val="2"/>
            <w:shd w:val="clear" w:color="000000" w:fill="auto"/>
            <w:vAlign w:val="center"/>
          </w:tcPr>
          <w:p w:rsidR="002664E4" w:rsidRPr="00E846B2" w:rsidRDefault="00AC6810" w:rsidP="00770BC8">
            <w:pPr>
              <w:tabs>
                <w:tab w:val="left" w:pos="0"/>
              </w:tabs>
              <w:ind w:firstLine="142"/>
              <w:jc w:val="center"/>
              <w:rPr>
                <w:b/>
                <w:bCs/>
                <w:color w:val="000000"/>
                <w:sz w:val="18"/>
                <w:szCs w:val="18"/>
                <w:lang w:val="en-US"/>
              </w:rPr>
            </w:pPr>
            <w:r w:rsidRPr="00E846B2">
              <w:rPr>
                <w:b/>
                <w:bCs/>
                <w:color w:val="000000"/>
                <w:sz w:val="18"/>
                <w:szCs w:val="18"/>
                <w:lang w:val="en-US"/>
              </w:rPr>
              <w:t>H1 2012</w:t>
            </w:r>
            <w:r w:rsidR="002664E4" w:rsidRPr="00E846B2">
              <w:rPr>
                <w:b/>
                <w:bCs/>
                <w:color w:val="000000"/>
                <w:sz w:val="18"/>
                <w:szCs w:val="18"/>
              </w:rPr>
              <w:t xml:space="preserve"> </w:t>
            </w:r>
            <w:r w:rsidR="002664E4" w:rsidRPr="00E846B2">
              <w:rPr>
                <w:b/>
                <w:bCs/>
                <w:color w:val="000000"/>
                <w:sz w:val="18"/>
                <w:szCs w:val="18"/>
                <w:lang w:val="en-US"/>
              </w:rPr>
              <w:t xml:space="preserve"> </w:t>
            </w:r>
          </w:p>
        </w:tc>
        <w:tc>
          <w:tcPr>
            <w:tcW w:w="851" w:type="dxa"/>
            <w:vMerge w:val="restart"/>
            <w:shd w:val="clear" w:color="000000" w:fill="auto"/>
            <w:vAlign w:val="center"/>
          </w:tcPr>
          <w:p w:rsidR="002664E4" w:rsidRPr="00E846B2" w:rsidRDefault="00AC6810" w:rsidP="00770BC8">
            <w:pPr>
              <w:tabs>
                <w:tab w:val="left" w:pos="0"/>
              </w:tabs>
              <w:jc w:val="center"/>
              <w:rPr>
                <w:b/>
                <w:bCs/>
                <w:color w:val="000000"/>
                <w:sz w:val="18"/>
                <w:szCs w:val="18"/>
                <w:lang w:val="en-US"/>
              </w:rPr>
            </w:pPr>
            <w:r w:rsidRPr="00E846B2">
              <w:rPr>
                <w:b/>
                <w:bCs/>
                <w:color w:val="000000"/>
                <w:sz w:val="18"/>
                <w:szCs w:val="18"/>
                <w:lang w:val="en-US"/>
              </w:rPr>
              <w:t>H1 2012</w:t>
            </w:r>
            <w:r w:rsidR="002664E4" w:rsidRPr="00E846B2">
              <w:rPr>
                <w:b/>
                <w:bCs/>
                <w:color w:val="000000"/>
                <w:sz w:val="18"/>
                <w:szCs w:val="18"/>
                <w:lang w:val="en-US"/>
              </w:rPr>
              <w:t>,</w:t>
            </w:r>
            <w:r w:rsidR="002664E4" w:rsidRPr="00E846B2">
              <w:rPr>
                <w:b/>
                <w:bCs/>
                <w:color w:val="000000"/>
                <w:sz w:val="18"/>
                <w:szCs w:val="18"/>
              </w:rPr>
              <w:t xml:space="preserve"> </w:t>
            </w:r>
            <w:r w:rsidR="002664E4" w:rsidRPr="00E846B2">
              <w:rPr>
                <w:b/>
                <w:bCs/>
                <w:color w:val="000000"/>
                <w:sz w:val="18"/>
                <w:szCs w:val="18"/>
                <w:lang w:val="en-US"/>
              </w:rPr>
              <w:t xml:space="preserve"> </w:t>
            </w:r>
            <w:r w:rsidR="002664E4" w:rsidRPr="00E846B2">
              <w:rPr>
                <w:b/>
                <w:bCs/>
                <w:color w:val="000000"/>
                <w:sz w:val="18"/>
                <w:szCs w:val="18"/>
              </w:rPr>
              <w:t xml:space="preserve"> </w:t>
            </w:r>
            <w:r w:rsidR="002664E4" w:rsidRPr="00E846B2">
              <w:rPr>
                <w:b/>
                <w:bCs/>
                <w:color w:val="000000"/>
                <w:sz w:val="18"/>
                <w:szCs w:val="18"/>
                <w:lang w:val="en-US"/>
              </w:rPr>
              <w:t xml:space="preserve">KZT </w:t>
            </w:r>
            <w:r w:rsidR="000A43AE" w:rsidRPr="00E846B2">
              <w:rPr>
                <w:b/>
                <w:bCs/>
                <w:color w:val="000000"/>
                <w:sz w:val="18"/>
                <w:szCs w:val="18"/>
                <w:lang w:val="en-US"/>
              </w:rPr>
              <w:t>billion</w:t>
            </w:r>
            <w:r w:rsidR="002664E4" w:rsidRPr="00E846B2">
              <w:rPr>
                <w:b/>
                <w:bCs/>
                <w:color w:val="000000"/>
                <w:sz w:val="18"/>
                <w:szCs w:val="18"/>
                <w:lang w:val="en-US"/>
              </w:rPr>
              <w:t>.</w:t>
            </w:r>
          </w:p>
        </w:tc>
        <w:tc>
          <w:tcPr>
            <w:tcW w:w="2125" w:type="dxa"/>
            <w:gridSpan w:val="2"/>
            <w:shd w:val="clear" w:color="000000" w:fill="auto"/>
            <w:vAlign w:val="center"/>
          </w:tcPr>
          <w:p w:rsidR="002664E4" w:rsidRPr="00E846B2" w:rsidRDefault="00AC6810" w:rsidP="00770BC8">
            <w:pPr>
              <w:tabs>
                <w:tab w:val="left" w:pos="0"/>
              </w:tabs>
              <w:ind w:firstLine="103"/>
              <w:jc w:val="center"/>
              <w:rPr>
                <w:b/>
                <w:bCs/>
                <w:color w:val="000000"/>
                <w:sz w:val="18"/>
                <w:szCs w:val="18"/>
                <w:lang w:val="en-US"/>
              </w:rPr>
            </w:pPr>
            <w:r w:rsidRPr="00E846B2">
              <w:rPr>
                <w:b/>
                <w:bCs/>
                <w:color w:val="000000"/>
                <w:sz w:val="18"/>
                <w:szCs w:val="18"/>
                <w:lang w:val="en-US"/>
              </w:rPr>
              <w:t>H1 2011</w:t>
            </w:r>
            <w:r w:rsidR="002664E4" w:rsidRPr="00E846B2">
              <w:rPr>
                <w:b/>
                <w:bCs/>
                <w:color w:val="000000"/>
                <w:sz w:val="18"/>
                <w:szCs w:val="18"/>
              </w:rPr>
              <w:t xml:space="preserve"> </w:t>
            </w:r>
            <w:r w:rsidR="002664E4" w:rsidRPr="00E846B2">
              <w:rPr>
                <w:b/>
                <w:bCs/>
                <w:color w:val="000000"/>
                <w:sz w:val="18"/>
                <w:szCs w:val="18"/>
                <w:lang w:val="en-US"/>
              </w:rPr>
              <w:t xml:space="preserve"> </w:t>
            </w:r>
          </w:p>
        </w:tc>
        <w:tc>
          <w:tcPr>
            <w:tcW w:w="851" w:type="dxa"/>
            <w:vMerge w:val="restart"/>
            <w:shd w:val="clear" w:color="000000" w:fill="auto"/>
            <w:vAlign w:val="center"/>
          </w:tcPr>
          <w:p w:rsidR="002664E4" w:rsidRPr="00E846B2" w:rsidRDefault="00AC6810" w:rsidP="00AC6810">
            <w:pPr>
              <w:tabs>
                <w:tab w:val="left" w:pos="0"/>
              </w:tabs>
              <w:ind w:firstLine="103"/>
              <w:jc w:val="center"/>
              <w:rPr>
                <w:b/>
                <w:bCs/>
                <w:color w:val="000000"/>
                <w:sz w:val="18"/>
                <w:szCs w:val="18"/>
              </w:rPr>
            </w:pPr>
            <w:r w:rsidRPr="00E846B2">
              <w:rPr>
                <w:b/>
                <w:bCs/>
                <w:color w:val="000000"/>
                <w:sz w:val="18"/>
                <w:szCs w:val="18"/>
                <w:lang w:val="en-US"/>
              </w:rPr>
              <w:t xml:space="preserve">H1 </w:t>
            </w:r>
            <w:r w:rsidR="009E0DDC" w:rsidRPr="00E846B2">
              <w:rPr>
                <w:b/>
                <w:bCs/>
                <w:color w:val="000000"/>
                <w:sz w:val="18"/>
                <w:szCs w:val="18"/>
                <w:lang w:val="en-US"/>
              </w:rPr>
              <w:t>2011</w:t>
            </w:r>
            <w:r w:rsidR="009E0DDC" w:rsidRPr="00E846B2">
              <w:rPr>
                <w:b/>
                <w:bCs/>
                <w:color w:val="000000"/>
                <w:sz w:val="18"/>
                <w:szCs w:val="18"/>
              </w:rPr>
              <w:t>,</w:t>
            </w:r>
            <w:r w:rsidR="002664E4" w:rsidRPr="00E846B2">
              <w:rPr>
                <w:b/>
                <w:bCs/>
                <w:color w:val="000000"/>
                <w:sz w:val="18"/>
                <w:szCs w:val="18"/>
              </w:rPr>
              <w:t xml:space="preserve"> </w:t>
            </w:r>
            <w:r w:rsidR="002664E4" w:rsidRPr="00E846B2">
              <w:rPr>
                <w:b/>
                <w:bCs/>
                <w:color w:val="000000"/>
                <w:sz w:val="18"/>
                <w:szCs w:val="18"/>
                <w:lang w:val="en-US"/>
              </w:rPr>
              <w:t xml:space="preserve">KZT </w:t>
            </w:r>
            <w:r w:rsidR="000A43AE" w:rsidRPr="00E846B2">
              <w:rPr>
                <w:b/>
                <w:bCs/>
                <w:color w:val="000000"/>
                <w:sz w:val="18"/>
                <w:szCs w:val="18"/>
                <w:lang w:val="en-US"/>
              </w:rPr>
              <w:t>billion</w:t>
            </w:r>
            <w:r w:rsidR="002664E4" w:rsidRPr="00E846B2">
              <w:rPr>
                <w:b/>
                <w:bCs/>
                <w:color w:val="000000"/>
                <w:sz w:val="18"/>
                <w:szCs w:val="18"/>
                <w:lang w:val="en-US"/>
              </w:rPr>
              <w:t>.</w:t>
            </w:r>
          </w:p>
        </w:tc>
        <w:tc>
          <w:tcPr>
            <w:tcW w:w="993" w:type="dxa"/>
            <w:vMerge w:val="restart"/>
            <w:shd w:val="clear" w:color="000000" w:fill="auto"/>
            <w:vAlign w:val="center"/>
          </w:tcPr>
          <w:p w:rsidR="002664E4" w:rsidRPr="00E846B2" w:rsidRDefault="002664E4" w:rsidP="00770BC8">
            <w:pPr>
              <w:tabs>
                <w:tab w:val="left" w:pos="0"/>
              </w:tabs>
              <w:jc w:val="center"/>
              <w:rPr>
                <w:b/>
                <w:bCs/>
                <w:color w:val="000000"/>
                <w:sz w:val="18"/>
                <w:szCs w:val="18"/>
                <w:lang w:val="en-US"/>
              </w:rPr>
            </w:pPr>
            <w:r w:rsidRPr="00E846B2">
              <w:rPr>
                <w:rFonts w:eastAsia="Calibri"/>
                <w:b/>
                <w:bCs/>
                <w:color w:val="000000"/>
                <w:sz w:val="18"/>
                <w:szCs w:val="18"/>
                <w:lang w:val="en-US"/>
              </w:rPr>
              <w:t>Change</w:t>
            </w:r>
            <w:r w:rsidRPr="00E846B2">
              <w:rPr>
                <w:b/>
                <w:bCs/>
                <w:color w:val="000000"/>
                <w:sz w:val="18"/>
                <w:szCs w:val="18"/>
                <w:lang w:val="en-US"/>
              </w:rPr>
              <w:t xml:space="preserve">, in KZT </w:t>
            </w:r>
            <w:r w:rsidR="000A43AE" w:rsidRPr="00E846B2">
              <w:rPr>
                <w:b/>
                <w:bCs/>
                <w:color w:val="000000"/>
                <w:sz w:val="18"/>
                <w:szCs w:val="18"/>
                <w:lang w:val="en-US"/>
              </w:rPr>
              <w:t>billion</w:t>
            </w:r>
            <w:r w:rsidRPr="00E846B2">
              <w:rPr>
                <w:b/>
                <w:bCs/>
                <w:color w:val="000000"/>
                <w:sz w:val="18"/>
                <w:szCs w:val="18"/>
                <w:lang w:val="en-US"/>
              </w:rPr>
              <w:t>.</w:t>
            </w:r>
          </w:p>
        </w:tc>
        <w:tc>
          <w:tcPr>
            <w:tcW w:w="991" w:type="dxa"/>
            <w:vMerge w:val="restart"/>
            <w:shd w:val="clear" w:color="000000" w:fill="auto"/>
            <w:vAlign w:val="center"/>
          </w:tcPr>
          <w:p w:rsidR="002664E4" w:rsidRPr="00E846B2" w:rsidRDefault="002664E4" w:rsidP="00770BC8">
            <w:pPr>
              <w:tabs>
                <w:tab w:val="left" w:pos="0"/>
              </w:tabs>
              <w:jc w:val="center"/>
              <w:rPr>
                <w:b/>
                <w:bCs/>
                <w:color w:val="000000"/>
                <w:sz w:val="18"/>
                <w:szCs w:val="18"/>
              </w:rPr>
            </w:pPr>
            <w:r w:rsidRPr="00E846B2">
              <w:rPr>
                <w:rFonts w:eastAsia="Calibri"/>
                <w:b/>
                <w:bCs/>
                <w:color w:val="000000"/>
                <w:sz w:val="18"/>
                <w:szCs w:val="18"/>
                <w:lang w:val="en-US"/>
              </w:rPr>
              <w:t>Change</w:t>
            </w:r>
            <w:r w:rsidRPr="00E846B2">
              <w:rPr>
                <w:b/>
                <w:bCs/>
                <w:color w:val="000000"/>
                <w:sz w:val="18"/>
                <w:szCs w:val="18"/>
              </w:rPr>
              <w:t xml:space="preserve">, </w:t>
            </w:r>
            <w:r w:rsidRPr="00E846B2">
              <w:rPr>
                <w:b/>
                <w:bCs/>
                <w:color w:val="000000"/>
                <w:sz w:val="18"/>
                <w:szCs w:val="18"/>
                <w:lang w:val="en-US"/>
              </w:rPr>
              <w:t>in</w:t>
            </w:r>
            <w:r w:rsidRPr="00E846B2">
              <w:rPr>
                <w:b/>
                <w:bCs/>
                <w:color w:val="000000"/>
                <w:sz w:val="18"/>
                <w:szCs w:val="18"/>
              </w:rPr>
              <w:t xml:space="preserve"> %</w:t>
            </w:r>
          </w:p>
        </w:tc>
      </w:tr>
      <w:tr w:rsidR="002664E4" w:rsidRPr="00B5391C" w:rsidTr="000E2F90">
        <w:trPr>
          <w:trHeight w:val="775"/>
        </w:trPr>
        <w:tc>
          <w:tcPr>
            <w:tcW w:w="2268" w:type="dxa"/>
            <w:vMerge/>
            <w:shd w:val="clear" w:color="000000" w:fill="auto"/>
            <w:vAlign w:val="center"/>
            <w:hideMark/>
          </w:tcPr>
          <w:p w:rsidR="002664E4" w:rsidRPr="00E846B2" w:rsidRDefault="002664E4" w:rsidP="00770BC8">
            <w:pPr>
              <w:tabs>
                <w:tab w:val="left" w:pos="426"/>
              </w:tabs>
              <w:ind w:firstLine="709"/>
              <w:jc w:val="center"/>
              <w:rPr>
                <w:bCs/>
                <w:color w:val="000000"/>
                <w:sz w:val="18"/>
                <w:szCs w:val="18"/>
              </w:rPr>
            </w:pPr>
          </w:p>
        </w:tc>
        <w:tc>
          <w:tcPr>
            <w:tcW w:w="992" w:type="dxa"/>
            <w:shd w:val="clear" w:color="000000" w:fill="auto"/>
            <w:vAlign w:val="center"/>
            <w:hideMark/>
          </w:tcPr>
          <w:p w:rsidR="002664E4" w:rsidRPr="00E846B2" w:rsidRDefault="002664E4" w:rsidP="00770BC8">
            <w:pPr>
              <w:tabs>
                <w:tab w:val="left" w:pos="176"/>
              </w:tabs>
              <w:jc w:val="center"/>
              <w:rPr>
                <w:bCs/>
                <w:color w:val="000000"/>
                <w:sz w:val="18"/>
                <w:szCs w:val="18"/>
                <w:lang w:val="en-US"/>
              </w:rPr>
            </w:pPr>
            <w:r w:rsidRPr="00E846B2">
              <w:rPr>
                <w:b/>
                <w:bCs/>
                <w:color w:val="000000"/>
                <w:sz w:val="18"/>
                <w:szCs w:val="18"/>
                <w:lang w:val="en-US"/>
              </w:rPr>
              <w:t>in % to income from the sale</w:t>
            </w:r>
          </w:p>
        </w:tc>
        <w:tc>
          <w:tcPr>
            <w:tcW w:w="1135" w:type="dxa"/>
            <w:shd w:val="clear" w:color="000000" w:fill="auto"/>
            <w:vAlign w:val="center"/>
            <w:hideMark/>
          </w:tcPr>
          <w:p w:rsidR="002664E4" w:rsidRPr="00E846B2" w:rsidRDefault="002664E4" w:rsidP="00770BC8">
            <w:pPr>
              <w:tabs>
                <w:tab w:val="left" w:pos="0"/>
              </w:tabs>
              <w:jc w:val="center"/>
              <w:rPr>
                <w:bCs/>
                <w:color w:val="000000"/>
                <w:sz w:val="18"/>
                <w:szCs w:val="18"/>
                <w:lang w:val="en-US"/>
              </w:rPr>
            </w:pPr>
            <w:r w:rsidRPr="00E846B2">
              <w:rPr>
                <w:b/>
                <w:bCs/>
                <w:color w:val="000000"/>
                <w:sz w:val="18"/>
                <w:szCs w:val="18"/>
                <w:lang w:val="en-US"/>
              </w:rPr>
              <w:t>in % to expenses from operations</w:t>
            </w:r>
          </w:p>
        </w:tc>
        <w:tc>
          <w:tcPr>
            <w:tcW w:w="851" w:type="dxa"/>
            <w:vMerge/>
            <w:shd w:val="clear" w:color="000000" w:fill="auto"/>
            <w:vAlign w:val="center"/>
            <w:hideMark/>
          </w:tcPr>
          <w:p w:rsidR="002664E4" w:rsidRPr="00E846B2" w:rsidRDefault="002664E4" w:rsidP="00770BC8">
            <w:pPr>
              <w:tabs>
                <w:tab w:val="left" w:pos="0"/>
              </w:tabs>
              <w:ind w:firstLine="142"/>
              <w:jc w:val="center"/>
              <w:rPr>
                <w:bCs/>
                <w:color w:val="000000"/>
                <w:sz w:val="18"/>
                <w:szCs w:val="18"/>
                <w:lang w:val="en-US"/>
              </w:rPr>
            </w:pPr>
          </w:p>
        </w:tc>
        <w:tc>
          <w:tcPr>
            <w:tcW w:w="992" w:type="dxa"/>
            <w:shd w:val="clear" w:color="000000" w:fill="auto"/>
            <w:vAlign w:val="center"/>
          </w:tcPr>
          <w:p w:rsidR="002664E4" w:rsidRPr="00E846B2" w:rsidRDefault="002664E4" w:rsidP="00770BC8">
            <w:pPr>
              <w:tabs>
                <w:tab w:val="left" w:pos="176"/>
              </w:tabs>
              <w:jc w:val="center"/>
              <w:rPr>
                <w:bCs/>
                <w:color w:val="000000"/>
                <w:sz w:val="18"/>
                <w:szCs w:val="18"/>
                <w:lang w:val="en-US"/>
              </w:rPr>
            </w:pPr>
            <w:r w:rsidRPr="00E846B2">
              <w:rPr>
                <w:b/>
                <w:bCs/>
                <w:color w:val="000000"/>
                <w:sz w:val="18"/>
                <w:szCs w:val="18"/>
                <w:lang w:val="en-US"/>
              </w:rPr>
              <w:t xml:space="preserve">in % </w:t>
            </w:r>
            <w:r w:rsidR="009E0DDC" w:rsidRPr="00E846B2">
              <w:rPr>
                <w:b/>
                <w:bCs/>
                <w:color w:val="000000"/>
                <w:sz w:val="18"/>
                <w:szCs w:val="18"/>
                <w:lang w:val="en-US"/>
              </w:rPr>
              <w:t>t</w:t>
            </w:r>
            <w:r w:rsidRPr="00E846B2">
              <w:rPr>
                <w:b/>
                <w:bCs/>
                <w:color w:val="000000"/>
                <w:sz w:val="18"/>
                <w:szCs w:val="18"/>
                <w:lang w:val="en-US"/>
              </w:rPr>
              <w:t>o income from the sale</w:t>
            </w:r>
          </w:p>
        </w:tc>
        <w:tc>
          <w:tcPr>
            <w:tcW w:w="1133" w:type="dxa"/>
            <w:shd w:val="clear" w:color="000000" w:fill="auto"/>
            <w:vAlign w:val="center"/>
          </w:tcPr>
          <w:p w:rsidR="002664E4" w:rsidRPr="00E846B2" w:rsidRDefault="002664E4" w:rsidP="00770BC8">
            <w:pPr>
              <w:tabs>
                <w:tab w:val="left" w:pos="0"/>
              </w:tabs>
              <w:jc w:val="center"/>
              <w:rPr>
                <w:bCs/>
                <w:color w:val="000000"/>
                <w:sz w:val="18"/>
                <w:szCs w:val="18"/>
                <w:lang w:val="en-US"/>
              </w:rPr>
            </w:pPr>
            <w:r w:rsidRPr="00E846B2">
              <w:rPr>
                <w:b/>
                <w:bCs/>
                <w:color w:val="000000"/>
                <w:sz w:val="18"/>
                <w:szCs w:val="18"/>
                <w:lang w:val="en-US"/>
              </w:rPr>
              <w:t>in % to expenses from operations</w:t>
            </w:r>
          </w:p>
        </w:tc>
        <w:tc>
          <w:tcPr>
            <w:tcW w:w="851" w:type="dxa"/>
            <w:vMerge/>
            <w:shd w:val="clear" w:color="000000" w:fill="auto"/>
            <w:vAlign w:val="center"/>
            <w:hideMark/>
          </w:tcPr>
          <w:p w:rsidR="002664E4" w:rsidRPr="00E846B2" w:rsidRDefault="002664E4" w:rsidP="00770BC8">
            <w:pPr>
              <w:tabs>
                <w:tab w:val="left" w:pos="0"/>
              </w:tabs>
              <w:ind w:firstLine="103"/>
              <w:jc w:val="center"/>
              <w:rPr>
                <w:bCs/>
                <w:color w:val="000000"/>
                <w:sz w:val="18"/>
                <w:szCs w:val="18"/>
                <w:lang w:val="en-US"/>
              </w:rPr>
            </w:pPr>
          </w:p>
        </w:tc>
        <w:tc>
          <w:tcPr>
            <w:tcW w:w="993" w:type="dxa"/>
            <w:vMerge/>
            <w:shd w:val="clear" w:color="000000" w:fill="auto"/>
            <w:vAlign w:val="center"/>
            <w:hideMark/>
          </w:tcPr>
          <w:p w:rsidR="002664E4" w:rsidRPr="00E846B2" w:rsidRDefault="002664E4" w:rsidP="00770BC8">
            <w:pPr>
              <w:tabs>
                <w:tab w:val="left" w:pos="0"/>
              </w:tabs>
              <w:ind w:firstLine="88"/>
              <w:jc w:val="center"/>
              <w:rPr>
                <w:bCs/>
                <w:color w:val="000000"/>
                <w:sz w:val="18"/>
                <w:szCs w:val="18"/>
                <w:lang w:val="en-US"/>
              </w:rPr>
            </w:pPr>
          </w:p>
        </w:tc>
        <w:tc>
          <w:tcPr>
            <w:tcW w:w="991" w:type="dxa"/>
            <w:vMerge/>
            <w:shd w:val="clear" w:color="000000" w:fill="auto"/>
            <w:vAlign w:val="center"/>
            <w:hideMark/>
          </w:tcPr>
          <w:p w:rsidR="002664E4" w:rsidRPr="00E846B2" w:rsidRDefault="002664E4" w:rsidP="00770BC8">
            <w:pPr>
              <w:tabs>
                <w:tab w:val="left" w:pos="0"/>
              </w:tabs>
              <w:ind w:firstLine="44"/>
              <w:jc w:val="center"/>
              <w:rPr>
                <w:bCs/>
                <w:color w:val="000000"/>
                <w:sz w:val="18"/>
                <w:szCs w:val="18"/>
                <w:lang w:val="en-US"/>
              </w:rPr>
            </w:pPr>
          </w:p>
        </w:tc>
      </w:tr>
      <w:tr w:rsidR="009E449A" w:rsidRPr="00E846B2" w:rsidTr="000E2F90">
        <w:trPr>
          <w:trHeight w:val="371"/>
        </w:trPr>
        <w:tc>
          <w:tcPr>
            <w:tcW w:w="2268" w:type="dxa"/>
            <w:shd w:val="clear" w:color="auto" w:fill="auto"/>
            <w:hideMark/>
          </w:tcPr>
          <w:p w:rsidR="009E449A" w:rsidRPr="00E846B2" w:rsidRDefault="009E449A" w:rsidP="00770BC8">
            <w:pPr>
              <w:rPr>
                <w:b/>
                <w:sz w:val="18"/>
                <w:szCs w:val="18"/>
                <w:lang w:val="en-US"/>
              </w:rPr>
            </w:pPr>
            <w:r w:rsidRPr="00E846B2">
              <w:rPr>
                <w:b/>
                <w:sz w:val="18"/>
                <w:szCs w:val="18"/>
                <w:lang w:val="en-US"/>
              </w:rPr>
              <w:t>Revenues from sales and interest income</w:t>
            </w:r>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100</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87</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2 340</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100</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110</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2 084</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257</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12</w:t>
            </w:r>
          </w:p>
        </w:tc>
      </w:tr>
      <w:tr w:rsidR="009E449A" w:rsidRPr="00E846B2" w:rsidTr="000E2F90">
        <w:trPr>
          <w:trHeight w:val="371"/>
        </w:trPr>
        <w:tc>
          <w:tcPr>
            <w:tcW w:w="2268" w:type="dxa"/>
            <w:shd w:val="clear" w:color="auto" w:fill="auto"/>
            <w:hideMark/>
          </w:tcPr>
          <w:p w:rsidR="009E449A" w:rsidRPr="00E846B2" w:rsidRDefault="009E449A" w:rsidP="00770BC8">
            <w:pPr>
              <w:rPr>
                <w:b/>
                <w:sz w:val="18"/>
                <w:szCs w:val="18"/>
              </w:rPr>
            </w:pPr>
            <w:proofErr w:type="spellStart"/>
            <w:r w:rsidRPr="00E846B2">
              <w:rPr>
                <w:b/>
                <w:sz w:val="18"/>
                <w:szCs w:val="18"/>
              </w:rPr>
              <w:t>Expenditure</w:t>
            </w:r>
            <w:proofErr w:type="spellEnd"/>
            <w:r w:rsidRPr="00E846B2">
              <w:rPr>
                <w:b/>
                <w:sz w:val="18"/>
                <w:szCs w:val="18"/>
              </w:rPr>
              <w:t xml:space="preserve"> </w:t>
            </w:r>
            <w:proofErr w:type="spellStart"/>
            <w:r w:rsidRPr="00E846B2">
              <w:rPr>
                <w:b/>
                <w:sz w:val="18"/>
                <w:szCs w:val="18"/>
              </w:rPr>
              <w:t>on</w:t>
            </w:r>
            <w:proofErr w:type="spellEnd"/>
            <w:r w:rsidRPr="00E846B2">
              <w:rPr>
                <w:b/>
                <w:sz w:val="18"/>
                <w:szCs w:val="18"/>
              </w:rPr>
              <w:t xml:space="preserve"> </w:t>
            </w:r>
            <w:proofErr w:type="spellStart"/>
            <w:r w:rsidRPr="00E846B2">
              <w:rPr>
                <w:b/>
                <w:sz w:val="18"/>
                <w:szCs w:val="18"/>
              </w:rPr>
              <w:t>operating</w:t>
            </w:r>
            <w:proofErr w:type="spellEnd"/>
            <w:r w:rsidRPr="00E846B2">
              <w:rPr>
                <w:b/>
                <w:sz w:val="18"/>
                <w:szCs w:val="18"/>
              </w:rPr>
              <w:t xml:space="preserve"> </w:t>
            </w:r>
            <w:proofErr w:type="spellStart"/>
            <w:r w:rsidRPr="00E846B2">
              <w:rPr>
                <w:b/>
                <w:sz w:val="18"/>
                <w:szCs w:val="18"/>
              </w:rPr>
              <w:t>activities</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116</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100</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2 704</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91</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100</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1 894</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811</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43</w:t>
            </w:r>
          </w:p>
        </w:tc>
      </w:tr>
      <w:tr w:rsidR="009E449A" w:rsidRPr="00E846B2" w:rsidTr="000E2F90">
        <w:trPr>
          <w:trHeight w:val="401"/>
        </w:trPr>
        <w:tc>
          <w:tcPr>
            <w:tcW w:w="2268" w:type="dxa"/>
            <w:shd w:val="clear" w:color="auto" w:fill="auto"/>
            <w:hideMark/>
          </w:tcPr>
          <w:p w:rsidR="009E449A" w:rsidRPr="00E846B2" w:rsidRDefault="009E449A" w:rsidP="00770BC8">
            <w:pPr>
              <w:rPr>
                <w:sz w:val="18"/>
                <w:szCs w:val="18"/>
                <w:lang w:val="en-US"/>
              </w:rPr>
            </w:pPr>
            <w:r w:rsidRPr="00E846B2">
              <w:rPr>
                <w:sz w:val="18"/>
                <w:szCs w:val="18"/>
                <w:lang w:val="en-US"/>
              </w:rPr>
              <w:t xml:space="preserve">  Cost of sales and interest expense</w:t>
            </w:r>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72</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63</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1 692</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69</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76</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1 437</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255</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18</w:t>
            </w:r>
          </w:p>
        </w:tc>
      </w:tr>
      <w:tr w:rsidR="009E449A" w:rsidRPr="00E846B2" w:rsidTr="000E2F90">
        <w:trPr>
          <w:trHeight w:val="266"/>
        </w:trPr>
        <w:tc>
          <w:tcPr>
            <w:tcW w:w="2268" w:type="dxa"/>
            <w:shd w:val="clear" w:color="auto" w:fill="auto"/>
            <w:hideMark/>
          </w:tcPr>
          <w:p w:rsidR="009E449A" w:rsidRPr="00E846B2" w:rsidRDefault="009E449A" w:rsidP="00770BC8">
            <w:pPr>
              <w:rPr>
                <w:b/>
                <w:sz w:val="18"/>
                <w:szCs w:val="18"/>
              </w:rPr>
            </w:pPr>
            <w:proofErr w:type="spellStart"/>
            <w:r w:rsidRPr="00E846B2">
              <w:rPr>
                <w:b/>
                <w:sz w:val="18"/>
                <w:szCs w:val="18"/>
              </w:rPr>
              <w:t>Gross</w:t>
            </w:r>
            <w:proofErr w:type="spellEnd"/>
            <w:r w:rsidRPr="00E846B2">
              <w:rPr>
                <w:b/>
                <w:sz w:val="18"/>
                <w:szCs w:val="18"/>
              </w:rPr>
              <w:t xml:space="preserve"> </w:t>
            </w:r>
            <w:proofErr w:type="spellStart"/>
            <w:r w:rsidRPr="00E846B2">
              <w:rPr>
                <w:b/>
                <w:sz w:val="18"/>
                <w:szCs w:val="18"/>
              </w:rPr>
              <w:t>income</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28</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24</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648</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31</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34</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647</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0</w:t>
            </w:r>
          </w:p>
        </w:tc>
      </w:tr>
      <w:tr w:rsidR="009E449A" w:rsidRPr="00E846B2" w:rsidTr="000E2F90">
        <w:trPr>
          <w:trHeight w:val="214"/>
        </w:trPr>
        <w:tc>
          <w:tcPr>
            <w:tcW w:w="2268" w:type="dxa"/>
            <w:shd w:val="clear" w:color="auto" w:fill="auto"/>
            <w:hideMark/>
          </w:tcPr>
          <w:p w:rsidR="009E449A" w:rsidRPr="00E846B2" w:rsidRDefault="009E449A" w:rsidP="00770BC8">
            <w:pPr>
              <w:rPr>
                <w:sz w:val="18"/>
                <w:szCs w:val="18"/>
              </w:rPr>
            </w:pPr>
            <w:proofErr w:type="spellStart"/>
            <w:r w:rsidRPr="00E846B2">
              <w:rPr>
                <w:sz w:val="18"/>
                <w:szCs w:val="18"/>
              </w:rPr>
              <w:t>General</w:t>
            </w:r>
            <w:proofErr w:type="spellEnd"/>
            <w:r w:rsidRPr="00E846B2">
              <w:rPr>
                <w:sz w:val="18"/>
                <w:szCs w:val="18"/>
              </w:rPr>
              <w:t xml:space="preserve"> </w:t>
            </w:r>
            <w:proofErr w:type="spellStart"/>
            <w:r w:rsidRPr="00E846B2">
              <w:rPr>
                <w:sz w:val="18"/>
                <w:szCs w:val="18"/>
              </w:rPr>
              <w:t>administrative</w:t>
            </w:r>
            <w:proofErr w:type="spellEnd"/>
            <w:r w:rsidRPr="00E846B2">
              <w:rPr>
                <w:sz w:val="18"/>
                <w:szCs w:val="18"/>
              </w:rPr>
              <w:t xml:space="preserve"> </w:t>
            </w:r>
            <w:proofErr w:type="spellStart"/>
            <w:r w:rsidRPr="00E846B2">
              <w:rPr>
                <w:sz w:val="18"/>
                <w:szCs w:val="18"/>
              </w:rPr>
              <w:t>expenses</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7</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6</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175</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9</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10</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191</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-16</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-8</w:t>
            </w:r>
          </w:p>
        </w:tc>
      </w:tr>
      <w:tr w:rsidR="009E449A" w:rsidRPr="00E846B2" w:rsidTr="000E2F90">
        <w:trPr>
          <w:trHeight w:val="295"/>
        </w:trPr>
        <w:tc>
          <w:tcPr>
            <w:tcW w:w="2268" w:type="dxa"/>
            <w:shd w:val="clear" w:color="auto" w:fill="auto"/>
            <w:hideMark/>
          </w:tcPr>
          <w:p w:rsidR="009E449A" w:rsidRPr="00E846B2" w:rsidRDefault="009E449A" w:rsidP="00770BC8">
            <w:pPr>
              <w:rPr>
                <w:sz w:val="18"/>
                <w:szCs w:val="18"/>
              </w:rPr>
            </w:pPr>
            <w:proofErr w:type="spellStart"/>
            <w:r w:rsidRPr="00E846B2">
              <w:rPr>
                <w:sz w:val="18"/>
                <w:szCs w:val="18"/>
              </w:rPr>
              <w:t>Shipping</w:t>
            </w:r>
            <w:proofErr w:type="spellEnd"/>
            <w:r w:rsidRPr="00E846B2">
              <w:rPr>
                <w:sz w:val="18"/>
                <w:szCs w:val="18"/>
              </w:rPr>
              <w:t xml:space="preserve"> </w:t>
            </w:r>
            <w:proofErr w:type="spellStart"/>
            <w:r w:rsidRPr="00E846B2">
              <w:rPr>
                <w:sz w:val="18"/>
                <w:szCs w:val="18"/>
              </w:rPr>
              <w:t>costs</w:t>
            </w:r>
            <w:proofErr w:type="spellEnd"/>
            <w:r w:rsidRPr="00E846B2">
              <w:rPr>
                <w:sz w:val="18"/>
                <w:szCs w:val="18"/>
              </w:rPr>
              <w:t xml:space="preserve"> </w:t>
            </w:r>
            <w:proofErr w:type="spellStart"/>
            <w:r w:rsidRPr="00E846B2">
              <w:rPr>
                <w:sz w:val="18"/>
                <w:szCs w:val="18"/>
              </w:rPr>
              <w:t>and</w:t>
            </w:r>
            <w:proofErr w:type="spellEnd"/>
            <w:r w:rsidRPr="00E846B2">
              <w:rPr>
                <w:sz w:val="18"/>
                <w:szCs w:val="18"/>
              </w:rPr>
              <w:t xml:space="preserve"> </w:t>
            </w:r>
            <w:proofErr w:type="spellStart"/>
            <w:r w:rsidRPr="00E846B2">
              <w:rPr>
                <w:sz w:val="18"/>
                <w:szCs w:val="18"/>
              </w:rPr>
              <w:t>sales</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8</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7</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188</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10</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11</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201</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-13</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-6</w:t>
            </w:r>
          </w:p>
        </w:tc>
      </w:tr>
      <w:tr w:rsidR="009E449A" w:rsidRPr="00E846B2" w:rsidTr="000E2F90">
        <w:trPr>
          <w:trHeight w:val="191"/>
        </w:trPr>
        <w:tc>
          <w:tcPr>
            <w:tcW w:w="2268" w:type="dxa"/>
            <w:shd w:val="clear" w:color="auto" w:fill="auto"/>
            <w:hideMark/>
          </w:tcPr>
          <w:p w:rsidR="009E449A" w:rsidRPr="00E846B2" w:rsidRDefault="009E449A" w:rsidP="00770BC8">
            <w:pPr>
              <w:rPr>
                <w:sz w:val="18"/>
                <w:szCs w:val="18"/>
                <w:lang w:val="en-US"/>
              </w:rPr>
            </w:pPr>
            <w:r w:rsidRPr="00E846B2">
              <w:rPr>
                <w:sz w:val="18"/>
                <w:szCs w:val="18"/>
              </w:rPr>
              <w:t xml:space="preserve">  </w:t>
            </w:r>
            <w:proofErr w:type="spellStart"/>
            <w:r w:rsidRPr="00E846B2">
              <w:rPr>
                <w:sz w:val="18"/>
                <w:szCs w:val="18"/>
              </w:rPr>
              <w:t>Losses</w:t>
            </w:r>
            <w:proofErr w:type="spellEnd"/>
            <w:r w:rsidRPr="00E846B2">
              <w:rPr>
                <w:sz w:val="18"/>
                <w:szCs w:val="18"/>
                <w:lang w:val="en-US"/>
              </w:rPr>
              <w:t xml:space="preserve"> </w:t>
            </w:r>
            <w:r w:rsidRPr="00E846B2">
              <w:rPr>
                <w:sz w:val="18"/>
                <w:szCs w:val="18"/>
              </w:rPr>
              <w:t xml:space="preserve"> </w:t>
            </w:r>
            <w:proofErr w:type="spellStart"/>
            <w:r w:rsidRPr="00E846B2">
              <w:rPr>
                <w:sz w:val="18"/>
                <w:szCs w:val="18"/>
              </w:rPr>
              <w:t>on</w:t>
            </w:r>
            <w:proofErr w:type="spellEnd"/>
            <w:r w:rsidRPr="00E846B2">
              <w:rPr>
                <w:sz w:val="18"/>
                <w:szCs w:val="18"/>
              </w:rPr>
              <w:t xml:space="preserve"> </w:t>
            </w:r>
            <w:proofErr w:type="spellStart"/>
            <w:r w:rsidRPr="00E846B2">
              <w:rPr>
                <w:sz w:val="18"/>
                <w:szCs w:val="18"/>
              </w:rPr>
              <w:t>assets</w:t>
            </w:r>
            <w:proofErr w:type="spellEnd"/>
            <w:r w:rsidRPr="00E846B2">
              <w:rPr>
                <w:sz w:val="18"/>
                <w:szCs w:val="18"/>
                <w:lang w:val="en-US"/>
              </w:rPr>
              <w:t xml:space="preserve"> i</w:t>
            </w:r>
            <w:proofErr w:type="spellStart"/>
            <w:r w:rsidRPr="00E846B2">
              <w:rPr>
                <w:sz w:val="18"/>
                <w:szCs w:val="18"/>
              </w:rPr>
              <w:t>mpairment</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0</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0</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3</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1</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25</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-21</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-87</w:t>
            </w:r>
          </w:p>
        </w:tc>
      </w:tr>
      <w:tr w:rsidR="009E449A" w:rsidRPr="00E846B2" w:rsidTr="000E2F90">
        <w:trPr>
          <w:trHeight w:val="191"/>
        </w:trPr>
        <w:tc>
          <w:tcPr>
            <w:tcW w:w="2268" w:type="dxa"/>
            <w:shd w:val="clear" w:color="auto" w:fill="auto"/>
          </w:tcPr>
          <w:p w:rsidR="009E449A" w:rsidRPr="00E846B2" w:rsidRDefault="009E449A" w:rsidP="00770BC8">
            <w:pPr>
              <w:rPr>
                <w:sz w:val="18"/>
                <w:szCs w:val="18"/>
                <w:lang w:val="en-US"/>
              </w:rPr>
            </w:pPr>
            <w:r w:rsidRPr="00E846B2">
              <w:rPr>
                <w:sz w:val="18"/>
                <w:szCs w:val="18"/>
                <w:lang w:val="en-US"/>
              </w:rPr>
              <w:t>Other operating loss</w:t>
            </w:r>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28</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24</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646</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2</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2</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40</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605</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1 497</w:t>
            </w:r>
          </w:p>
        </w:tc>
      </w:tr>
      <w:tr w:rsidR="009E449A" w:rsidRPr="00E846B2" w:rsidTr="000E2F90">
        <w:trPr>
          <w:trHeight w:val="281"/>
        </w:trPr>
        <w:tc>
          <w:tcPr>
            <w:tcW w:w="2268" w:type="dxa"/>
            <w:shd w:val="clear" w:color="auto" w:fill="auto"/>
            <w:hideMark/>
          </w:tcPr>
          <w:p w:rsidR="009E449A" w:rsidRPr="00E846B2" w:rsidRDefault="009E449A" w:rsidP="00770BC8">
            <w:pPr>
              <w:rPr>
                <w:b/>
                <w:sz w:val="18"/>
                <w:szCs w:val="18"/>
              </w:rPr>
            </w:pPr>
            <w:r w:rsidRPr="00E846B2">
              <w:rPr>
                <w:sz w:val="18"/>
                <w:szCs w:val="18"/>
              </w:rPr>
              <w:t xml:space="preserve">  </w:t>
            </w:r>
            <w:proofErr w:type="spellStart"/>
            <w:r w:rsidRPr="00E846B2">
              <w:rPr>
                <w:b/>
                <w:sz w:val="18"/>
                <w:szCs w:val="18"/>
              </w:rPr>
              <w:t>Income</w:t>
            </w:r>
            <w:proofErr w:type="spellEnd"/>
            <w:r w:rsidRPr="00E846B2">
              <w:rPr>
                <w:b/>
                <w:sz w:val="18"/>
                <w:szCs w:val="18"/>
              </w:rPr>
              <w:t xml:space="preserve"> (</w:t>
            </w:r>
            <w:proofErr w:type="spellStart"/>
            <w:r w:rsidRPr="00E846B2">
              <w:rPr>
                <w:b/>
                <w:sz w:val="18"/>
                <w:szCs w:val="18"/>
              </w:rPr>
              <w:t>loss</w:t>
            </w:r>
            <w:proofErr w:type="spellEnd"/>
            <w:r w:rsidRPr="00E846B2">
              <w:rPr>
                <w:b/>
                <w:sz w:val="18"/>
                <w:szCs w:val="18"/>
              </w:rPr>
              <w:t xml:space="preserve">) </w:t>
            </w:r>
            <w:proofErr w:type="spellStart"/>
            <w:r w:rsidRPr="00E846B2">
              <w:rPr>
                <w:b/>
                <w:sz w:val="18"/>
                <w:szCs w:val="18"/>
              </w:rPr>
              <w:t>from</w:t>
            </w:r>
            <w:proofErr w:type="spellEnd"/>
            <w:r w:rsidRPr="00E846B2">
              <w:rPr>
                <w:b/>
                <w:sz w:val="18"/>
                <w:szCs w:val="18"/>
              </w:rPr>
              <w:t xml:space="preserve"> </w:t>
            </w:r>
            <w:proofErr w:type="spellStart"/>
            <w:r w:rsidRPr="00E846B2">
              <w:rPr>
                <w:b/>
                <w:sz w:val="18"/>
                <w:szCs w:val="18"/>
              </w:rPr>
              <w:t>operations</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-13</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-12</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-314</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10</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11</w:t>
            </w:r>
          </w:p>
        </w:tc>
        <w:tc>
          <w:tcPr>
            <w:tcW w:w="851" w:type="dxa"/>
            <w:shd w:val="clear" w:color="auto" w:fill="auto"/>
            <w:noWrap/>
            <w:vAlign w:val="center"/>
            <w:hideMark/>
          </w:tcPr>
          <w:p w:rsidR="009E449A" w:rsidRPr="00E846B2" w:rsidRDefault="009E449A" w:rsidP="004E4765">
            <w:pPr>
              <w:jc w:val="center"/>
              <w:rPr>
                <w:color w:val="000000"/>
                <w:sz w:val="18"/>
                <w:szCs w:val="18"/>
              </w:rPr>
            </w:pPr>
            <w:r w:rsidRPr="00E846B2">
              <w:rPr>
                <w:color w:val="000000"/>
                <w:sz w:val="18"/>
                <w:szCs w:val="18"/>
              </w:rPr>
              <w:t>214</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-528</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-247</w:t>
            </w:r>
          </w:p>
        </w:tc>
      </w:tr>
      <w:tr w:rsidR="009E449A" w:rsidRPr="00E846B2" w:rsidTr="000E2F90">
        <w:trPr>
          <w:trHeight w:val="557"/>
        </w:trPr>
        <w:tc>
          <w:tcPr>
            <w:tcW w:w="2268" w:type="dxa"/>
            <w:shd w:val="clear" w:color="auto" w:fill="auto"/>
          </w:tcPr>
          <w:p w:rsidR="009E449A" w:rsidRPr="00E846B2" w:rsidRDefault="009E449A" w:rsidP="00770BC8">
            <w:pPr>
              <w:rPr>
                <w:sz w:val="18"/>
                <w:szCs w:val="18"/>
                <w:lang w:val="en-US"/>
              </w:rPr>
            </w:pPr>
            <w:r w:rsidRPr="00E846B2">
              <w:rPr>
                <w:sz w:val="18"/>
                <w:szCs w:val="18"/>
                <w:lang w:val="en-US"/>
              </w:rPr>
              <w:t>Equity income from associates and joint ventures</w:t>
            </w:r>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12</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11</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284</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15</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16</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304</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-20</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-7</w:t>
            </w:r>
          </w:p>
        </w:tc>
      </w:tr>
      <w:tr w:rsidR="009E449A" w:rsidRPr="00E846B2" w:rsidTr="000E2F90">
        <w:trPr>
          <w:trHeight w:val="313"/>
        </w:trPr>
        <w:tc>
          <w:tcPr>
            <w:tcW w:w="2268" w:type="dxa"/>
            <w:shd w:val="clear" w:color="auto" w:fill="auto"/>
          </w:tcPr>
          <w:p w:rsidR="009E449A" w:rsidRPr="00E846B2" w:rsidRDefault="009E449A" w:rsidP="00770BC8">
            <w:pPr>
              <w:rPr>
                <w:sz w:val="18"/>
                <w:szCs w:val="18"/>
              </w:rPr>
            </w:pPr>
            <w:proofErr w:type="spellStart"/>
            <w:r w:rsidRPr="00E846B2">
              <w:rPr>
                <w:sz w:val="18"/>
                <w:szCs w:val="18"/>
              </w:rPr>
              <w:lastRenderedPageBreak/>
              <w:t>Income</w:t>
            </w:r>
            <w:proofErr w:type="spellEnd"/>
            <w:r w:rsidRPr="00E846B2">
              <w:rPr>
                <w:sz w:val="18"/>
                <w:szCs w:val="18"/>
              </w:rPr>
              <w:t xml:space="preserve"> </w:t>
            </w:r>
            <w:proofErr w:type="spellStart"/>
            <w:r w:rsidRPr="00E846B2">
              <w:rPr>
                <w:sz w:val="18"/>
                <w:szCs w:val="18"/>
              </w:rPr>
              <w:t>tax</w:t>
            </w:r>
            <w:proofErr w:type="spellEnd"/>
            <w:r w:rsidRPr="00E846B2">
              <w:rPr>
                <w:sz w:val="18"/>
                <w:szCs w:val="18"/>
              </w:rPr>
              <w:t xml:space="preserve"> </w:t>
            </w:r>
            <w:proofErr w:type="spellStart"/>
            <w:r w:rsidRPr="00E846B2">
              <w:rPr>
                <w:sz w:val="18"/>
                <w:szCs w:val="18"/>
              </w:rPr>
              <w:t>expense</w:t>
            </w:r>
            <w:proofErr w:type="spellEnd"/>
          </w:p>
        </w:tc>
        <w:tc>
          <w:tcPr>
            <w:tcW w:w="992"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5</w:t>
            </w:r>
          </w:p>
        </w:tc>
        <w:tc>
          <w:tcPr>
            <w:tcW w:w="1135" w:type="dxa"/>
            <w:shd w:val="clear" w:color="auto" w:fill="auto"/>
            <w:vAlign w:val="center"/>
          </w:tcPr>
          <w:p w:rsidR="009E449A" w:rsidRPr="00E846B2" w:rsidRDefault="009E449A" w:rsidP="004E4765">
            <w:pPr>
              <w:jc w:val="center"/>
              <w:rPr>
                <w:color w:val="000000"/>
                <w:sz w:val="18"/>
                <w:szCs w:val="18"/>
              </w:rPr>
            </w:pPr>
            <w:r w:rsidRPr="00E846B2">
              <w:rPr>
                <w:color w:val="000000"/>
                <w:sz w:val="18"/>
                <w:szCs w:val="18"/>
              </w:rPr>
              <w:t>4</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119</w:t>
            </w:r>
          </w:p>
        </w:tc>
        <w:tc>
          <w:tcPr>
            <w:tcW w:w="992" w:type="dxa"/>
            <w:vAlign w:val="center"/>
          </w:tcPr>
          <w:p w:rsidR="009E449A" w:rsidRPr="00E846B2" w:rsidRDefault="009E449A" w:rsidP="004E4765">
            <w:pPr>
              <w:jc w:val="center"/>
              <w:rPr>
                <w:color w:val="000000"/>
                <w:sz w:val="18"/>
                <w:szCs w:val="18"/>
              </w:rPr>
            </w:pPr>
            <w:r w:rsidRPr="00E846B2">
              <w:rPr>
                <w:color w:val="000000"/>
                <w:sz w:val="18"/>
                <w:szCs w:val="18"/>
              </w:rPr>
              <w:t>8</w:t>
            </w:r>
          </w:p>
        </w:tc>
        <w:tc>
          <w:tcPr>
            <w:tcW w:w="1133" w:type="dxa"/>
            <w:vAlign w:val="center"/>
          </w:tcPr>
          <w:p w:rsidR="009E449A" w:rsidRPr="00E846B2" w:rsidRDefault="009E449A" w:rsidP="004E4765">
            <w:pPr>
              <w:jc w:val="center"/>
              <w:rPr>
                <w:color w:val="000000"/>
                <w:sz w:val="18"/>
                <w:szCs w:val="18"/>
              </w:rPr>
            </w:pPr>
            <w:r w:rsidRPr="00E846B2">
              <w:rPr>
                <w:color w:val="000000"/>
                <w:sz w:val="18"/>
                <w:szCs w:val="18"/>
              </w:rPr>
              <w:t>9</w:t>
            </w:r>
          </w:p>
        </w:tc>
        <w:tc>
          <w:tcPr>
            <w:tcW w:w="85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174</w:t>
            </w:r>
          </w:p>
        </w:tc>
        <w:tc>
          <w:tcPr>
            <w:tcW w:w="993"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-55</w:t>
            </w:r>
          </w:p>
        </w:tc>
        <w:tc>
          <w:tcPr>
            <w:tcW w:w="991" w:type="dxa"/>
            <w:shd w:val="clear" w:color="auto" w:fill="auto"/>
            <w:noWrap/>
            <w:vAlign w:val="center"/>
          </w:tcPr>
          <w:p w:rsidR="009E449A" w:rsidRPr="00E846B2" w:rsidRDefault="009E449A" w:rsidP="004E4765">
            <w:pPr>
              <w:jc w:val="center"/>
              <w:rPr>
                <w:color w:val="000000"/>
                <w:sz w:val="18"/>
                <w:szCs w:val="18"/>
              </w:rPr>
            </w:pPr>
            <w:r w:rsidRPr="00E846B2">
              <w:rPr>
                <w:color w:val="000000"/>
                <w:sz w:val="18"/>
                <w:szCs w:val="18"/>
              </w:rPr>
              <w:t>-32</w:t>
            </w:r>
          </w:p>
        </w:tc>
      </w:tr>
      <w:tr w:rsidR="00E846B2" w:rsidRPr="00E846B2" w:rsidTr="000E2F90">
        <w:trPr>
          <w:trHeight w:val="275"/>
        </w:trPr>
        <w:tc>
          <w:tcPr>
            <w:tcW w:w="2268" w:type="dxa"/>
            <w:shd w:val="clear" w:color="auto" w:fill="auto"/>
          </w:tcPr>
          <w:p w:rsidR="00E846B2" w:rsidRPr="00E846B2" w:rsidRDefault="00E846B2" w:rsidP="00770BC8">
            <w:pPr>
              <w:rPr>
                <w:sz w:val="18"/>
                <w:szCs w:val="18"/>
                <w:lang w:val="en-US"/>
              </w:rPr>
            </w:pPr>
            <w:r w:rsidRPr="00E846B2">
              <w:rPr>
                <w:sz w:val="18"/>
                <w:szCs w:val="18"/>
                <w:lang w:val="en-US"/>
              </w:rPr>
              <w:t>Income/loss/ from discontinued operations</w:t>
            </w:r>
          </w:p>
        </w:tc>
        <w:tc>
          <w:tcPr>
            <w:tcW w:w="992" w:type="dxa"/>
            <w:shd w:val="clear" w:color="auto" w:fill="auto"/>
            <w:vAlign w:val="center"/>
          </w:tcPr>
          <w:p w:rsidR="00E846B2" w:rsidRPr="00E846B2" w:rsidRDefault="00E846B2" w:rsidP="00F11A4A">
            <w:pPr>
              <w:jc w:val="center"/>
              <w:rPr>
                <w:color w:val="000000"/>
                <w:sz w:val="18"/>
                <w:szCs w:val="18"/>
              </w:rPr>
            </w:pPr>
            <w:r w:rsidRPr="00E846B2">
              <w:rPr>
                <w:color w:val="000000"/>
                <w:sz w:val="18"/>
                <w:szCs w:val="18"/>
              </w:rPr>
              <w:t>9</w:t>
            </w:r>
          </w:p>
        </w:tc>
        <w:tc>
          <w:tcPr>
            <w:tcW w:w="1135" w:type="dxa"/>
            <w:shd w:val="clear" w:color="auto" w:fill="auto"/>
            <w:vAlign w:val="center"/>
          </w:tcPr>
          <w:p w:rsidR="00E846B2" w:rsidRPr="00E846B2" w:rsidRDefault="00E846B2" w:rsidP="00F11A4A">
            <w:pPr>
              <w:jc w:val="center"/>
              <w:rPr>
                <w:color w:val="000000"/>
                <w:sz w:val="18"/>
                <w:szCs w:val="18"/>
              </w:rPr>
            </w:pPr>
            <w:r w:rsidRPr="00E846B2">
              <w:rPr>
                <w:color w:val="000000"/>
                <w:sz w:val="18"/>
                <w:szCs w:val="18"/>
              </w:rPr>
              <w:t>7</w:t>
            </w:r>
          </w:p>
        </w:tc>
        <w:tc>
          <w:tcPr>
            <w:tcW w:w="851" w:type="dxa"/>
            <w:shd w:val="clear" w:color="auto" w:fill="auto"/>
            <w:noWrap/>
            <w:vAlign w:val="center"/>
          </w:tcPr>
          <w:p w:rsidR="00E846B2" w:rsidRPr="00E846B2" w:rsidRDefault="00E846B2" w:rsidP="00F11A4A">
            <w:pPr>
              <w:jc w:val="center"/>
              <w:rPr>
                <w:color w:val="000000"/>
                <w:sz w:val="18"/>
                <w:szCs w:val="18"/>
              </w:rPr>
            </w:pPr>
            <w:r w:rsidRPr="00E846B2">
              <w:rPr>
                <w:color w:val="000000"/>
                <w:sz w:val="18"/>
                <w:szCs w:val="18"/>
              </w:rPr>
              <w:t>202</w:t>
            </w:r>
          </w:p>
        </w:tc>
        <w:tc>
          <w:tcPr>
            <w:tcW w:w="992" w:type="dxa"/>
            <w:vAlign w:val="center"/>
          </w:tcPr>
          <w:p w:rsidR="00E846B2" w:rsidRPr="00E846B2" w:rsidRDefault="00E846B2" w:rsidP="00F11A4A">
            <w:pPr>
              <w:jc w:val="center"/>
              <w:rPr>
                <w:color w:val="000000"/>
                <w:sz w:val="18"/>
                <w:szCs w:val="18"/>
              </w:rPr>
            </w:pPr>
            <w:r w:rsidRPr="00E846B2">
              <w:rPr>
                <w:color w:val="000000"/>
                <w:sz w:val="18"/>
                <w:szCs w:val="18"/>
              </w:rPr>
              <w:t>1</w:t>
            </w:r>
          </w:p>
        </w:tc>
        <w:tc>
          <w:tcPr>
            <w:tcW w:w="1133" w:type="dxa"/>
            <w:vAlign w:val="center"/>
          </w:tcPr>
          <w:p w:rsidR="00E846B2" w:rsidRPr="00E846B2" w:rsidRDefault="00E846B2" w:rsidP="00F11A4A">
            <w:pPr>
              <w:jc w:val="center"/>
              <w:rPr>
                <w:color w:val="000000"/>
                <w:sz w:val="18"/>
                <w:szCs w:val="18"/>
              </w:rPr>
            </w:pPr>
            <w:r w:rsidRPr="00E846B2">
              <w:rPr>
                <w:color w:val="000000"/>
                <w:sz w:val="18"/>
                <w:szCs w:val="18"/>
              </w:rPr>
              <w:t>1</w:t>
            </w:r>
          </w:p>
        </w:tc>
        <w:tc>
          <w:tcPr>
            <w:tcW w:w="851" w:type="dxa"/>
            <w:shd w:val="clear" w:color="auto" w:fill="auto"/>
            <w:noWrap/>
            <w:vAlign w:val="center"/>
          </w:tcPr>
          <w:p w:rsidR="00E846B2" w:rsidRPr="00E846B2" w:rsidRDefault="00E846B2" w:rsidP="00F11A4A">
            <w:pPr>
              <w:jc w:val="center"/>
              <w:rPr>
                <w:color w:val="000000"/>
                <w:sz w:val="18"/>
                <w:szCs w:val="18"/>
              </w:rPr>
            </w:pPr>
            <w:r w:rsidRPr="00E846B2">
              <w:rPr>
                <w:color w:val="000000"/>
                <w:sz w:val="18"/>
                <w:szCs w:val="18"/>
              </w:rPr>
              <w:t>17</w:t>
            </w:r>
          </w:p>
        </w:tc>
        <w:tc>
          <w:tcPr>
            <w:tcW w:w="993" w:type="dxa"/>
            <w:shd w:val="clear" w:color="auto" w:fill="auto"/>
            <w:noWrap/>
            <w:vAlign w:val="center"/>
          </w:tcPr>
          <w:p w:rsidR="00E846B2" w:rsidRPr="00E846B2" w:rsidRDefault="00E846B2" w:rsidP="00F11A4A">
            <w:pPr>
              <w:jc w:val="center"/>
              <w:rPr>
                <w:color w:val="000000"/>
                <w:sz w:val="18"/>
                <w:szCs w:val="18"/>
              </w:rPr>
            </w:pPr>
            <w:r w:rsidRPr="00E846B2">
              <w:rPr>
                <w:color w:val="000000"/>
                <w:sz w:val="18"/>
                <w:szCs w:val="18"/>
              </w:rPr>
              <w:t>185</w:t>
            </w:r>
          </w:p>
        </w:tc>
        <w:tc>
          <w:tcPr>
            <w:tcW w:w="991" w:type="dxa"/>
            <w:shd w:val="clear" w:color="auto" w:fill="auto"/>
            <w:noWrap/>
            <w:vAlign w:val="center"/>
          </w:tcPr>
          <w:p w:rsidR="00E846B2" w:rsidRPr="00E846B2" w:rsidRDefault="00E846B2" w:rsidP="00F11A4A">
            <w:pPr>
              <w:jc w:val="center"/>
              <w:rPr>
                <w:color w:val="000000"/>
                <w:sz w:val="18"/>
                <w:szCs w:val="18"/>
              </w:rPr>
            </w:pPr>
            <w:r w:rsidRPr="00E846B2">
              <w:rPr>
                <w:color w:val="000000"/>
                <w:sz w:val="18"/>
                <w:szCs w:val="18"/>
              </w:rPr>
              <w:t>1 188</w:t>
            </w:r>
          </w:p>
        </w:tc>
      </w:tr>
      <w:tr w:rsidR="00E846B2" w:rsidRPr="00E846B2" w:rsidTr="000E2F90">
        <w:trPr>
          <w:trHeight w:val="275"/>
        </w:trPr>
        <w:tc>
          <w:tcPr>
            <w:tcW w:w="2268" w:type="dxa"/>
            <w:shd w:val="clear" w:color="auto" w:fill="auto"/>
          </w:tcPr>
          <w:p w:rsidR="00E846B2" w:rsidRPr="00E846B2" w:rsidRDefault="00E846B2" w:rsidP="00770BC8">
            <w:pPr>
              <w:rPr>
                <w:b/>
                <w:sz w:val="18"/>
                <w:szCs w:val="18"/>
              </w:rPr>
            </w:pPr>
            <w:proofErr w:type="spellStart"/>
            <w:r w:rsidRPr="00E846B2">
              <w:rPr>
                <w:b/>
                <w:sz w:val="18"/>
                <w:szCs w:val="18"/>
              </w:rPr>
              <w:t>Net</w:t>
            </w:r>
            <w:proofErr w:type="spellEnd"/>
            <w:r w:rsidRPr="00E846B2">
              <w:rPr>
                <w:b/>
                <w:sz w:val="18"/>
                <w:szCs w:val="18"/>
                <w:lang w:val="en-US"/>
              </w:rPr>
              <w:t xml:space="preserve"> </w:t>
            </w:r>
            <w:r w:rsidRPr="00E846B2">
              <w:rPr>
                <w:b/>
                <w:sz w:val="18"/>
                <w:szCs w:val="18"/>
              </w:rPr>
              <w:t xml:space="preserve"> </w:t>
            </w:r>
            <w:proofErr w:type="spellStart"/>
            <w:r w:rsidRPr="00E846B2">
              <w:rPr>
                <w:b/>
                <w:sz w:val="18"/>
                <w:szCs w:val="18"/>
              </w:rPr>
              <w:t>profit</w:t>
            </w:r>
            <w:proofErr w:type="spellEnd"/>
          </w:p>
        </w:tc>
        <w:tc>
          <w:tcPr>
            <w:tcW w:w="992" w:type="dxa"/>
            <w:shd w:val="clear" w:color="auto" w:fill="auto"/>
            <w:vAlign w:val="center"/>
          </w:tcPr>
          <w:p w:rsidR="00E846B2" w:rsidRPr="00E846B2" w:rsidRDefault="00E846B2" w:rsidP="004E4765">
            <w:pPr>
              <w:jc w:val="center"/>
              <w:rPr>
                <w:color w:val="000000"/>
                <w:sz w:val="18"/>
                <w:szCs w:val="18"/>
              </w:rPr>
            </w:pPr>
            <w:r w:rsidRPr="00E846B2">
              <w:rPr>
                <w:color w:val="000000"/>
                <w:sz w:val="18"/>
                <w:szCs w:val="18"/>
              </w:rPr>
              <w:t>-1</w:t>
            </w:r>
          </w:p>
        </w:tc>
        <w:tc>
          <w:tcPr>
            <w:tcW w:w="1135" w:type="dxa"/>
            <w:shd w:val="clear" w:color="auto" w:fill="auto"/>
            <w:vAlign w:val="center"/>
          </w:tcPr>
          <w:p w:rsidR="00E846B2" w:rsidRPr="00E846B2" w:rsidRDefault="00E846B2" w:rsidP="004E4765">
            <w:pPr>
              <w:jc w:val="center"/>
              <w:rPr>
                <w:color w:val="000000"/>
                <w:sz w:val="18"/>
                <w:szCs w:val="18"/>
              </w:rPr>
            </w:pPr>
            <w:r w:rsidRPr="00E846B2">
              <w:rPr>
                <w:color w:val="000000"/>
                <w:sz w:val="18"/>
                <w:szCs w:val="18"/>
              </w:rPr>
              <w:t>-1</w:t>
            </w:r>
          </w:p>
        </w:tc>
        <w:tc>
          <w:tcPr>
            <w:tcW w:w="851" w:type="dxa"/>
            <w:shd w:val="clear" w:color="auto" w:fill="auto"/>
            <w:noWrap/>
            <w:vAlign w:val="center"/>
          </w:tcPr>
          <w:p w:rsidR="00E846B2" w:rsidRPr="00E846B2" w:rsidRDefault="00E846B2" w:rsidP="004E4765">
            <w:pPr>
              <w:jc w:val="center"/>
              <w:rPr>
                <w:color w:val="000000"/>
                <w:sz w:val="18"/>
                <w:szCs w:val="18"/>
              </w:rPr>
            </w:pPr>
            <w:r w:rsidRPr="00E846B2">
              <w:rPr>
                <w:color w:val="000000"/>
                <w:sz w:val="18"/>
                <w:szCs w:val="18"/>
              </w:rPr>
              <w:t>-29</w:t>
            </w:r>
          </w:p>
        </w:tc>
        <w:tc>
          <w:tcPr>
            <w:tcW w:w="992" w:type="dxa"/>
            <w:vAlign w:val="center"/>
          </w:tcPr>
          <w:p w:rsidR="00E846B2" w:rsidRPr="00E846B2" w:rsidRDefault="00E846B2" w:rsidP="004E4765">
            <w:pPr>
              <w:jc w:val="center"/>
              <w:rPr>
                <w:color w:val="000000"/>
                <w:sz w:val="18"/>
                <w:szCs w:val="18"/>
              </w:rPr>
            </w:pPr>
            <w:r w:rsidRPr="00E846B2">
              <w:rPr>
                <w:color w:val="000000"/>
                <w:sz w:val="18"/>
                <w:szCs w:val="18"/>
              </w:rPr>
              <w:t>15</w:t>
            </w:r>
          </w:p>
        </w:tc>
        <w:tc>
          <w:tcPr>
            <w:tcW w:w="1133" w:type="dxa"/>
            <w:vAlign w:val="center"/>
          </w:tcPr>
          <w:p w:rsidR="00E846B2" w:rsidRPr="00E846B2" w:rsidRDefault="00E846B2" w:rsidP="004E4765">
            <w:pPr>
              <w:jc w:val="center"/>
              <w:rPr>
                <w:color w:val="000000"/>
                <w:sz w:val="18"/>
                <w:szCs w:val="18"/>
              </w:rPr>
            </w:pPr>
            <w:r w:rsidRPr="00E846B2">
              <w:rPr>
                <w:color w:val="000000"/>
                <w:sz w:val="18"/>
                <w:szCs w:val="18"/>
              </w:rPr>
              <w:t>16</w:t>
            </w:r>
          </w:p>
        </w:tc>
        <w:tc>
          <w:tcPr>
            <w:tcW w:w="851" w:type="dxa"/>
            <w:shd w:val="clear" w:color="auto" w:fill="auto"/>
            <w:noWrap/>
            <w:vAlign w:val="center"/>
          </w:tcPr>
          <w:p w:rsidR="00E846B2" w:rsidRPr="00E846B2" w:rsidRDefault="00E846B2" w:rsidP="004E4765">
            <w:pPr>
              <w:jc w:val="center"/>
              <w:rPr>
                <w:color w:val="000000"/>
                <w:sz w:val="18"/>
                <w:szCs w:val="18"/>
              </w:rPr>
            </w:pPr>
            <w:r w:rsidRPr="00E846B2">
              <w:rPr>
                <w:color w:val="000000"/>
                <w:sz w:val="18"/>
                <w:szCs w:val="18"/>
              </w:rPr>
              <w:t>308</w:t>
            </w:r>
          </w:p>
        </w:tc>
        <w:tc>
          <w:tcPr>
            <w:tcW w:w="993" w:type="dxa"/>
            <w:shd w:val="clear" w:color="auto" w:fill="auto"/>
            <w:noWrap/>
            <w:vAlign w:val="center"/>
          </w:tcPr>
          <w:p w:rsidR="00E846B2" w:rsidRPr="00E846B2" w:rsidRDefault="00E846B2" w:rsidP="004E4765">
            <w:pPr>
              <w:jc w:val="center"/>
              <w:rPr>
                <w:color w:val="000000"/>
                <w:sz w:val="18"/>
                <w:szCs w:val="18"/>
              </w:rPr>
            </w:pPr>
            <w:r w:rsidRPr="00E846B2">
              <w:rPr>
                <w:color w:val="000000"/>
                <w:sz w:val="18"/>
                <w:szCs w:val="18"/>
              </w:rPr>
              <w:t>-337</w:t>
            </w:r>
          </w:p>
        </w:tc>
        <w:tc>
          <w:tcPr>
            <w:tcW w:w="991" w:type="dxa"/>
            <w:shd w:val="clear" w:color="auto" w:fill="auto"/>
            <w:noWrap/>
            <w:vAlign w:val="center"/>
          </w:tcPr>
          <w:p w:rsidR="00E846B2" w:rsidRPr="00E846B2" w:rsidRDefault="00E846B2" w:rsidP="004E4765">
            <w:pPr>
              <w:jc w:val="center"/>
              <w:rPr>
                <w:color w:val="000000"/>
                <w:sz w:val="18"/>
                <w:szCs w:val="18"/>
              </w:rPr>
            </w:pPr>
            <w:r w:rsidRPr="00E846B2">
              <w:rPr>
                <w:color w:val="000000"/>
                <w:sz w:val="18"/>
                <w:szCs w:val="18"/>
              </w:rPr>
              <w:t>-109</w:t>
            </w:r>
          </w:p>
        </w:tc>
      </w:tr>
    </w:tbl>
    <w:p w:rsidR="009E0DDC" w:rsidRDefault="009E0DDC" w:rsidP="003A1285">
      <w:pPr>
        <w:tabs>
          <w:tab w:val="left" w:pos="426"/>
        </w:tabs>
        <w:autoSpaceDE w:val="0"/>
        <w:autoSpaceDN w:val="0"/>
        <w:adjustRightInd w:val="0"/>
        <w:ind w:left="-709" w:firstLine="709"/>
        <w:jc w:val="both"/>
        <w:rPr>
          <w:rStyle w:val="apple-style-span"/>
          <w:sz w:val="22"/>
          <w:szCs w:val="22"/>
          <w:shd w:val="clear" w:color="auto" w:fill="FFFFFF"/>
          <w:lang w:val="en-US"/>
        </w:rPr>
      </w:pPr>
    </w:p>
    <w:p w:rsidR="003A1285" w:rsidRDefault="004E4765" w:rsidP="003A1285">
      <w:pPr>
        <w:tabs>
          <w:tab w:val="left" w:pos="426"/>
        </w:tabs>
        <w:autoSpaceDE w:val="0"/>
        <w:autoSpaceDN w:val="0"/>
        <w:adjustRightInd w:val="0"/>
        <w:ind w:left="-709" w:firstLine="709"/>
        <w:jc w:val="both"/>
        <w:rPr>
          <w:rStyle w:val="apple-style-span"/>
          <w:sz w:val="22"/>
          <w:szCs w:val="22"/>
          <w:shd w:val="clear" w:color="auto" w:fill="FFFFFF"/>
          <w:lang w:val="en-US"/>
        </w:rPr>
      </w:pPr>
      <w:r w:rsidRPr="004E4765">
        <w:rPr>
          <w:rStyle w:val="apple-style-span"/>
          <w:sz w:val="22"/>
          <w:szCs w:val="22"/>
          <w:shd w:val="clear" w:color="auto" w:fill="FFFFFF"/>
          <w:lang w:val="en-US"/>
        </w:rPr>
        <w:t xml:space="preserve">The following are key factors in </w:t>
      </w:r>
      <w:r w:rsidRPr="004E4765">
        <w:rPr>
          <w:rStyle w:val="apple-style-span"/>
          <w:b/>
          <w:i/>
          <w:sz w:val="22"/>
          <w:szCs w:val="22"/>
          <w:shd w:val="clear" w:color="auto" w:fill="FFFFFF"/>
          <w:lang w:val="en-US"/>
        </w:rPr>
        <w:t>net profit</w:t>
      </w:r>
      <w:r w:rsidRPr="004E4765">
        <w:rPr>
          <w:rStyle w:val="apple-style-span"/>
          <w:sz w:val="22"/>
          <w:szCs w:val="22"/>
          <w:shd w:val="clear" w:color="auto" w:fill="FFFFFF"/>
          <w:lang w:val="en-US"/>
        </w:rPr>
        <w:t xml:space="preserve"> with STB in the reporting period compared to the same period of 2011</w:t>
      </w:r>
      <w:r>
        <w:rPr>
          <w:rStyle w:val="apple-style-span"/>
          <w:sz w:val="22"/>
          <w:szCs w:val="22"/>
          <w:shd w:val="clear" w:color="auto" w:fill="FFFFFF"/>
          <w:lang w:val="en-US"/>
        </w:rPr>
        <w:t>.</w:t>
      </w:r>
    </w:p>
    <w:p w:rsidR="00627857" w:rsidRPr="00ED3732" w:rsidRDefault="00627857" w:rsidP="003A1285">
      <w:pPr>
        <w:tabs>
          <w:tab w:val="left" w:pos="426"/>
        </w:tabs>
        <w:autoSpaceDE w:val="0"/>
        <w:autoSpaceDN w:val="0"/>
        <w:adjustRightInd w:val="0"/>
        <w:ind w:left="-709" w:firstLine="709"/>
        <w:jc w:val="both"/>
        <w:rPr>
          <w:rStyle w:val="apple-style-span"/>
          <w:sz w:val="22"/>
          <w:szCs w:val="22"/>
          <w:shd w:val="clear" w:color="auto" w:fill="FFFFFF"/>
          <w:lang w:val="en-US"/>
        </w:rPr>
      </w:pPr>
    </w:p>
    <w:tbl>
      <w:tblPr>
        <w:tblW w:w="100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700"/>
      </w:tblGrid>
      <w:tr w:rsidR="003A1285" w:rsidRPr="004B72BD" w:rsidTr="000E2F90">
        <w:trPr>
          <w:trHeight w:val="701"/>
        </w:trPr>
        <w:tc>
          <w:tcPr>
            <w:tcW w:w="8364" w:type="dxa"/>
            <w:shd w:val="clear" w:color="auto" w:fill="auto"/>
            <w:vAlign w:val="center"/>
            <w:hideMark/>
          </w:tcPr>
          <w:p w:rsidR="003A1285" w:rsidRPr="0049185F" w:rsidRDefault="003A1285" w:rsidP="00770BC8">
            <w:pPr>
              <w:jc w:val="center"/>
              <w:rPr>
                <w:b/>
                <w:bCs/>
                <w:color w:val="000000"/>
                <w:sz w:val="18"/>
                <w:szCs w:val="18"/>
                <w:lang w:val="en-US"/>
              </w:rPr>
            </w:pPr>
            <w:r w:rsidRPr="0049185F">
              <w:rPr>
                <w:b/>
                <w:bCs/>
                <w:color w:val="000000"/>
                <w:sz w:val="18"/>
                <w:szCs w:val="18"/>
                <w:lang w:val="en-US"/>
              </w:rPr>
              <w:t>Factors</w:t>
            </w:r>
          </w:p>
        </w:tc>
        <w:tc>
          <w:tcPr>
            <w:tcW w:w="1700" w:type="dxa"/>
            <w:shd w:val="clear" w:color="auto" w:fill="auto"/>
            <w:vAlign w:val="center"/>
            <w:hideMark/>
          </w:tcPr>
          <w:p w:rsidR="003A1285" w:rsidRPr="0049185F" w:rsidRDefault="003A1285" w:rsidP="00770BC8">
            <w:pPr>
              <w:jc w:val="center"/>
              <w:rPr>
                <w:b/>
                <w:bCs/>
                <w:color w:val="000000"/>
                <w:sz w:val="18"/>
                <w:szCs w:val="18"/>
                <w:lang w:val="en-US"/>
              </w:rPr>
            </w:pPr>
            <w:r w:rsidRPr="0049185F">
              <w:rPr>
                <w:b/>
                <w:bCs/>
                <w:color w:val="000000"/>
                <w:sz w:val="18"/>
                <w:szCs w:val="18"/>
                <w:lang w:val="en-US"/>
              </w:rPr>
              <w:t xml:space="preserve">Changes with </w:t>
            </w:r>
            <w:r>
              <w:rPr>
                <w:b/>
                <w:bCs/>
                <w:color w:val="000000"/>
                <w:sz w:val="18"/>
                <w:szCs w:val="18"/>
                <w:lang w:val="en-US"/>
              </w:rPr>
              <w:t>second-tier b</w:t>
            </w:r>
            <w:r w:rsidRPr="0049185F">
              <w:rPr>
                <w:b/>
                <w:bCs/>
                <w:color w:val="000000"/>
                <w:sz w:val="18"/>
                <w:szCs w:val="18"/>
                <w:lang w:val="en-US"/>
              </w:rPr>
              <w:t>anks,</w:t>
            </w:r>
          </w:p>
          <w:p w:rsidR="003A1285" w:rsidRPr="0049185F" w:rsidRDefault="003A1285" w:rsidP="00F72C6E">
            <w:pPr>
              <w:jc w:val="center"/>
              <w:rPr>
                <w:b/>
                <w:bCs/>
                <w:color w:val="000000"/>
                <w:sz w:val="18"/>
                <w:szCs w:val="18"/>
                <w:lang w:val="en-US"/>
              </w:rPr>
            </w:pPr>
            <w:r w:rsidRPr="0049185F">
              <w:rPr>
                <w:b/>
                <w:bCs/>
                <w:color w:val="000000"/>
                <w:sz w:val="18"/>
                <w:szCs w:val="18"/>
                <w:lang w:val="en-US"/>
              </w:rPr>
              <w:t xml:space="preserve">billion </w:t>
            </w:r>
            <w:r w:rsidR="00F72C6E">
              <w:rPr>
                <w:b/>
                <w:bCs/>
                <w:color w:val="000000"/>
                <w:sz w:val="18"/>
                <w:szCs w:val="18"/>
                <w:lang w:val="en-US"/>
              </w:rPr>
              <w:t>KZT</w:t>
            </w:r>
          </w:p>
        </w:tc>
      </w:tr>
      <w:tr w:rsidR="007B7715" w:rsidRPr="0049185F" w:rsidTr="000E2F90">
        <w:trPr>
          <w:trHeight w:val="370"/>
        </w:trPr>
        <w:tc>
          <w:tcPr>
            <w:tcW w:w="8364" w:type="dxa"/>
            <w:shd w:val="clear" w:color="auto" w:fill="auto"/>
            <w:vAlign w:val="center"/>
            <w:hideMark/>
          </w:tcPr>
          <w:p w:rsidR="007B7715" w:rsidRPr="0049185F" w:rsidRDefault="007B7715" w:rsidP="00770BC8">
            <w:pPr>
              <w:rPr>
                <w:b/>
                <w:bCs/>
                <w:color w:val="000000"/>
                <w:sz w:val="18"/>
                <w:szCs w:val="18"/>
                <w:lang w:val="en-US"/>
              </w:rPr>
            </w:pPr>
            <w:r w:rsidRPr="0049185F">
              <w:rPr>
                <w:b/>
                <w:bCs/>
                <w:color w:val="000000"/>
                <w:sz w:val="18"/>
                <w:szCs w:val="18"/>
                <w:lang w:val="en-US"/>
              </w:rPr>
              <w:t xml:space="preserve">Net </w:t>
            </w:r>
            <w:r>
              <w:rPr>
                <w:b/>
                <w:bCs/>
                <w:color w:val="000000"/>
                <w:sz w:val="18"/>
                <w:szCs w:val="18"/>
                <w:lang w:val="en-US"/>
              </w:rPr>
              <w:t>income</w:t>
            </w:r>
            <w:r w:rsidRPr="0049185F">
              <w:rPr>
                <w:b/>
                <w:bCs/>
                <w:color w:val="000000"/>
                <w:sz w:val="18"/>
                <w:szCs w:val="18"/>
                <w:lang w:val="en-US"/>
              </w:rPr>
              <w:t xml:space="preserve"> </w:t>
            </w:r>
            <w:r w:rsidRPr="004E4765">
              <w:rPr>
                <w:b/>
                <w:bCs/>
                <w:color w:val="000000"/>
                <w:sz w:val="18"/>
                <w:szCs w:val="18"/>
                <w:lang w:val="en-US"/>
              </w:rPr>
              <w:t>(</w:t>
            </w:r>
            <w:r>
              <w:rPr>
                <w:b/>
                <w:bCs/>
                <w:color w:val="000000"/>
                <w:sz w:val="18"/>
                <w:szCs w:val="18"/>
                <w:lang w:val="en-US"/>
              </w:rPr>
              <w:t xml:space="preserve">KZT </w:t>
            </w:r>
            <w:r w:rsidRPr="004E4765">
              <w:rPr>
                <w:b/>
                <w:bCs/>
                <w:color w:val="000000"/>
                <w:sz w:val="18"/>
                <w:szCs w:val="18"/>
                <w:lang w:val="en-US"/>
              </w:rPr>
              <w:t xml:space="preserve">-29 </w:t>
            </w:r>
            <w:r w:rsidR="00A20E13">
              <w:rPr>
                <w:b/>
                <w:bCs/>
                <w:color w:val="000000"/>
                <w:sz w:val="18"/>
                <w:szCs w:val="18"/>
                <w:lang w:val="en-US"/>
              </w:rPr>
              <w:t>b</w:t>
            </w:r>
            <w:r w:rsidR="000A43AE">
              <w:rPr>
                <w:b/>
                <w:bCs/>
                <w:color w:val="000000"/>
                <w:sz w:val="18"/>
                <w:szCs w:val="18"/>
                <w:lang w:val="en-US"/>
              </w:rPr>
              <w:t>illion</w:t>
            </w:r>
            <w:r w:rsidRPr="004E4765">
              <w:rPr>
                <w:b/>
                <w:bCs/>
                <w:color w:val="000000"/>
                <w:sz w:val="18"/>
                <w:szCs w:val="18"/>
                <w:lang w:val="en-US"/>
              </w:rPr>
              <w:t xml:space="preserve"> in the reporting period, </w:t>
            </w:r>
            <w:r>
              <w:rPr>
                <w:b/>
                <w:bCs/>
                <w:color w:val="000000"/>
                <w:sz w:val="18"/>
                <w:szCs w:val="18"/>
                <w:lang w:val="en-US"/>
              </w:rPr>
              <w:t xml:space="preserve">KZT </w:t>
            </w:r>
            <w:r w:rsidRPr="004E4765">
              <w:rPr>
                <w:b/>
                <w:bCs/>
                <w:color w:val="000000"/>
                <w:sz w:val="18"/>
                <w:szCs w:val="18"/>
                <w:lang w:val="en-US"/>
              </w:rPr>
              <w:t>308 billion for the same period in 2011)</w:t>
            </w:r>
          </w:p>
        </w:tc>
        <w:tc>
          <w:tcPr>
            <w:tcW w:w="1700" w:type="dxa"/>
            <w:shd w:val="clear" w:color="auto" w:fill="auto"/>
            <w:noWrap/>
            <w:vAlign w:val="center"/>
            <w:hideMark/>
          </w:tcPr>
          <w:p w:rsidR="007B7715" w:rsidRPr="00326D65" w:rsidRDefault="007B7715" w:rsidP="00A20E13">
            <w:pPr>
              <w:jc w:val="center"/>
              <w:rPr>
                <w:b/>
                <w:bCs/>
                <w:sz w:val="18"/>
                <w:szCs w:val="18"/>
              </w:rPr>
            </w:pPr>
            <w:r w:rsidRPr="00326D65">
              <w:rPr>
                <w:b/>
                <w:bCs/>
                <w:sz w:val="18"/>
                <w:szCs w:val="18"/>
              </w:rPr>
              <w:t>-337</w:t>
            </w:r>
          </w:p>
        </w:tc>
      </w:tr>
      <w:bookmarkStart w:id="1" w:name="RANGE!A6"/>
      <w:tr w:rsidR="007B7715" w:rsidRPr="0049185F" w:rsidTr="000E2F90">
        <w:trPr>
          <w:trHeight w:val="419"/>
        </w:trPr>
        <w:tc>
          <w:tcPr>
            <w:tcW w:w="8364" w:type="dxa"/>
            <w:shd w:val="clear" w:color="auto" w:fill="auto"/>
            <w:hideMark/>
          </w:tcPr>
          <w:p w:rsidR="007B7715" w:rsidRPr="00DE4DE3" w:rsidRDefault="007B7715" w:rsidP="004E4765">
            <w:pPr>
              <w:rPr>
                <w:sz w:val="18"/>
                <w:szCs w:val="18"/>
                <w:lang w:val="en-US"/>
              </w:rPr>
            </w:pPr>
            <w:r w:rsidRPr="00DE4DE3">
              <w:rPr>
                <w:sz w:val="18"/>
                <w:szCs w:val="18"/>
              </w:rPr>
              <w:fldChar w:fldCharType="begin"/>
            </w:r>
            <w:r w:rsidRPr="00DE4DE3">
              <w:rPr>
                <w:sz w:val="18"/>
                <w:szCs w:val="18"/>
                <w:lang w:val="en-US"/>
              </w:rPr>
              <w:instrText xml:space="preserve"> HYPERLINK "file:///C:\\Users\\G-Kudabaeva\\AppData\\Local\\Microsoft\\Windows\\Temporary%20Internet%20Files\\Content.Outlook\\2ETQTM2O\\20120523-</w:instrText>
            </w:r>
            <w:r w:rsidRPr="00DE4DE3">
              <w:rPr>
                <w:sz w:val="18"/>
                <w:szCs w:val="18"/>
              </w:rPr>
              <w:instrText>Факторы</w:instrText>
            </w:r>
            <w:r w:rsidRPr="00DE4DE3">
              <w:rPr>
                <w:sz w:val="18"/>
                <w:szCs w:val="18"/>
                <w:lang w:val="en-US"/>
              </w:rPr>
              <w:instrText>%20</w:instrText>
            </w:r>
            <w:r w:rsidRPr="00DE4DE3">
              <w:rPr>
                <w:sz w:val="18"/>
                <w:szCs w:val="18"/>
              </w:rPr>
              <w:instrText>снижения</w:instrText>
            </w:r>
            <w:r w:rsidRPr="00DE4DE3">
              <w:rPr>
                <w:sz w:val="18"/>
                <w:szCs w:val="18"/>
                <w:lang w:val="en-US"/>
              </w:rPr>
              <w:instrText>%20</w:instrText>
            </w:r>
            <w:r w:rsidRPr="00DE4DE3">
              <w:rPr>
                <w:sz w:val="18"/>
                <w:szCs w:val="18"/>
              </w:rPr>
              <w:instrText>ЧП</w:instrText>
            </w:r>
            <w:r w:rsidRPr="00DE4DE3">
              <w:rPr>
                <w:sz w:val="18"/>
                <w:szCs w:val="18"/>
                <w:lang w:val="en-US"/>
              </w:rPr>
              <w:instrText>%20</w:instrText>
            </w:r>
            <w:r w:rsidRPr="00DE4DE3">
              <w:rPr>
                <w:sz w:val="18"/>
                <w:szCs w:val="18"/>
              </w:rPr>
              <w:instrText>с</w:instrText>
            </w:r>
            <w:r w:rsidRPr="00DE4DE3">
              <w:rPr>
                <w:sz w:val="18"/>
                <w:szCs w:val="18"/>
                <w:lang w:val="en-US"/>
              </w:rPr>
              <w:instrText>%20</w:instrText>
            </w:r>
            <w:r w:rsidRPr="00DE4DE3">
              <w:rPr>
                <w:sz w:val="18"/>
                <w:szCs w:val="18"/>
              </w:rPr>
              <w:instrText>БВУ</w:instrText>
            </w:r>
            <w:r w:rsidRPr="00DE4DE3">
              <w:rPr>
                <w:sz w:val="18"/>
                <w:szCs w:val="18"/>
                <w:lang w:val="en-US"/>
              </w:rPr>
              <w:instrText xml:space="preserve">.xlsx" \l "RANGE!A30" </w:instrText>
            </w:r>
            <w:r w:rsidRPr="00DE4DE3">
              <w:rPr>
                <w:sz w:val="18"/>
                <w:szCs w:val="18"/>
              </w:rPr>
              <w:fldChar w:fldCharType="separate"/>
            </w:r>
            <w:r w:rsidRPr="00DE4DE3">
              <w:rPr>
                <w:sz w:val="18"/>
                <w:szCs w:val="18"/>
                <w:lang w:val="en-US"/>
              </w:rPr>
              <w:t>The</w:t>
            </w:r>
            <w:r w:rsidRPr="00DE4DE3">
              <w:rPr>
                <w:sz w:val="18"/>
                <w:szCs w:val="18"/>
              </w:rPr>
              <w:fldChar w:fldCharType="end"/>
            </w:r>
            <w:bookmarkEnd w:id="1"/>
            <w:r w:rsidRPr="00DE4DE3">
              <w:rPr>
                <w:sz w:val="18"/>
                <w:szCs w:val="18"/>
                <w:lang w:val="en-US"/>
              </w:rPr>
              <w:t xml:space="preserve"> revenue growth (based on the level of operating profitability in 201</w:t>
            </w:r>
            <w:r>
              <w:rPr>
                <w:sz w:val="18"/>
                <w:szCs w:val="18"/>
                <w:lang w:val="en-US"/>
              </w:rPr>
              <w:t>1</w:t>
            </w:r>
            <w:r w:rsidRPr="00DE4DE3">
              <w:rPr>
                <w:sz w:val="18"/>
                <w:szCs w:val="18"/>
                <w:lang w:val="en-US"/>
              </w:rPr>
              <w:t>) mainly due to sales of petroleum products, freight rail, other income from the provision of other value-a</w:t>
            </w:r>
            <w:r>
              <w:rPr>
                <w:sz w:val="18"/>
                <w:szCs w:val="18"/>
                <w:lang w:val="en-US"/>
              </w:rPr>
              <w:t>dded services to core business</w:t>
            </w:r>
          </w:p>
        </w:tc>
        <w:tc>
          <w:tcPr>
            <w:tcW w:w="1700" w:type="dxa"/>
            <w:shd w:val="clear" w:color="auto" w:fill="auto"/>
            <w:noWrap/>
            <w:vAlign w:val="center"/>
            <w:hideMark/>
          </w:tcPr>
          <w:p w:rsidR="007B7715" w:rsidRPr="00326D65" w:rsidRDefault="007B7715" w:rsidP="00A20E13">
            <w:pPr>
              <w:jc w:val="center"/>
              <w:rPr>
                <w:sz w:val="18"/>
                <w:szCs w:val="18"/>
              </w:rPr>
            </w:pPr>
            <w:r w:rsidRPr="00326D65">
              <w:rPr>
                <w:sz w:val="18"/>
                <w:szCs w:val="18"/>
              </w:rPr>
              <w:t>231</w:t>
            </w:r>
          </w:p>
        </w:tc>
      </w:tr>
      <w:tr w:rsidR="007B7715" w:rsidRPr="0049185F" w:rsidTr="000E2F90">
        <w:trPr>
          <w:trHeight w:val="280"/>
        </w:trPr>
        <w:tc>
          <w:tcPr>
            <w:tcW w:w="8364" w:type="dxa"/>
            <w:shd w:val="clear" w:color="auto" w:fill="auto"/>
          </w:tcPr>
          <w:p w:rsidR="007B7715" w:rsidRPr="007B7715" w:rsidRDefault="007B7715" w:rsidP="004E4765">
            <w:pPr>
              <w:rPr>
                <w:sz w:val="18"/>
                <w:szCs w:val="18"/>
                <w:lang w:val="en-US"/>
              </w:rPr>
            </w:pPr>
            <w:r w:rsidRPr="007B7715">
              <w:rPr>
                <w:sz w:val="18"/>
                <w:szCs w:val="18"/>
                <w:lang w:val="en-US"/>
              </w:rPr>
              <w:t>Income from discontinued operations from the sale of shares in “GSM Kazakhstan “</w:t>
            </w:r>
            <w:proofErr w:type="spellStart"/>
            <w:r w:rsidRPr="007B7715">
              <w:rPr>
                <w:sz w:val="18"/>
                <w:szCs w:val="18"/>
                <w:lang w:val="en-US"/>
              </w:rPr>
              <w:t>Kazakhtelecom</w:t>
            </w:r>
            <w:proofErr w:type="spellEnd"/>
            <w:r w:rsidRPr="007B7715">
              <w:rPr>
                <w:sz w:val="18"/>
                <w:szCs w:val="18"/>
                <w:lang w:val="en-US"/>
              </w:rPr>
              <w:t>” JSC” LLP</w:t>
            </w:r>
          </w:p>
        </w:tc>
        <w:tc>
          <w:tcPr>
            <w:tcW w:w="1700" w:type="dxa"/>
            <w:shd w:val="clear" w:color="auto" w:fill="auto"/>
            <w:noWrap/>
            <w:vAlign w:val="center"/>
          </w:tcPr>
          <w:p w:rsidR="007B7715" w:rsidRPr="00326D65" w:rsidRDefault="007B7715" w:rsidP="00A20E13">
            <w:pPr>
              <w:jc w:val="center"/>
              <w:rPr>
                <w:sz w:val="18"/>
                <w:szCs w:val="18"/>
              </w:rPr>
            </w:pPr>
            <w:r w:rsidRPr="00326D65">
              <w:rPr>
                <w:sz w:val="18"/>
                <w:szCs w:val="18"/>
              </w:rPr>
              <w:t>185</w:t>
            </w:r>
          </w:p>
        </w:tc>
      </w:tr>
      <w:tr w:rsidR="007B7715" w:rsidRPr="0049185F" w:rsidTr="000E2F90">
        <w:trPr>
          <w:trHeight w:val="341"/>
        </w:trPr>
        <w:tc>
          <w:tcPr>
            <w:tcW w:w="8364" w:type="dxa"/>
            <w:shd w:val="clear" w:color="auto" w:fill="auto"/>
            <w:hideMark/>
          </w:tcPr>
          <w:p w:rsidR="007B7715" w:rsidRPr="007B7715" w:rsidRDefault="007B7715" w:rsidP="004E4765">
            <w:pPr>
              <w:rPr>
                <w:sz w:val="18"/>
                <w:szCs w:val="18"/>
                <w:lang w:val="en-US"/>
              </w:rPr>
            </w:pPr>
            <w:r w:rsidRPr="007B7715">
              <w:rPr>
                <w:sz w:val="18"/>
                <w:szCs w:val="18"/>
                <w:lang w:val="en-US"/>
              </w:rPr>
              <w:t>Reduction of income tax expenses</w:t>
            </w:r>
          </w:p>
        </w:tc>
        <w:tc>
          <w:tcPr>
            <w:tcW w:w="1700" w:type="dxa"/>
            <w:shd w:val="clear" w:color="auto" w:fill="auto"/>
            <w:noWrap/>
            <w:vAlign w:val="center"/>
            <w:hideMark/>
          </w:tcPr>
          <w:p w:rsidR="007B7715" w:rsidRPr="00326D65" w:rsidRDefault="007B7715" w:rsidP="00A20E13">
            <w:pPr>
              <w:jc w:val="center"/>
              <w:rPr>
                <w:color w:val="000000"/>
                <w:sz w:val="18"/>
                <w:szCs w:val="18"/>
              </w:rPr>
            </w:pPr>
            <w:r w:rsidRPr="00326D65">
              <w:rPr>
                <w:color w:val="000000"/>
                <w:sz w:val="18"/>
                <w:szCs w:val="18"/>
              </w:rPr>
              <w:t>56</w:t>
            </w:r>
          </w:p>
        </w:tc>
      </w:tr>
      <w:tr w:rsidR="007B7715" w:rsidRPr="0049185F" w:rsidTr="000E2F90">
        <w:trPr>
          <w:trHeight w:val="280"/>
        </w:trPr>
        <w:tc>
          <w:tcPr>
            <w:tcW w:w="8364" w:type="dxa"/>
            <w:shd w:val="clear" w:color="auto" w:fill="auto"/>
            <w:hideMark/>
          </w:tcPr>
          <w:p w:rsidR="007B7715" w:rsidRPr="007B7715" w:rsidRDefault="007B7715" w:rsidP="004E4765">
            <w:pPr>
              <w:rPr>
                <w:sz w:val="18"/>
                <w:szCs w:val="18"/>
                <w:lang w:val="en-US"/>
              </w:rPr>
            </w:pPr>
            <w:r w:rsidRPr="007B7715">
              <w:rPr>
                <w:sz w:val="18"/>
                <w:szCs w:val="18"/>
                <w:lang w:val="en-US"/>
              </w:rPr>
              <w:t>Reduction of costs for the impairment of loans to customers, mainly on DBK</w:t>
            </w:r>
          </w:p>
        </w:tc>
        <w:tc>
          <w:tcPr>
            <w:tcW w:w="1700" w:type="dxa"/>
            <w:shd w:val="clear" w:color="auto" w:fill="auto"/>
            <w:noWrap/>
            <w:vAlign w:val="center"/>
            <w:hideMark/>
          </w:tcPr>
          <w:p w:rsidR="007B7715" w:rsidRPr="00326D65" w:rsidRDefault="007B7715" w:rsidP="00A20E13">
            <w:pPr>
              <w:jc w:val="center"/>
              <w:rPr>
                <w:color w:val="000000"/>
                <w:sz w:val="18"/>
                <w:szCs w:val="18"/>
              </w:rPr>
            </w:pPr>
            <w:r w:rsidRPr="00326D65">
              <w:rPr>
                <w:color w:val="000000"/>
                <w:sz w:val="18"/>
                <w:szCs w:val="18"/>
              </w:rPr>
              <w:t>21</w:t>
            </w:r>
          </w:p>
        </w:tc>
      </w:tr>
      <w:tr w:rsidR="007B7715" w:rsidRPr="0049185F" w:rsidTr="000E2F90">
        <w:trPr>
          <w:trHeight w:val="242"/>
        </w:trPr>
        <w:tc>
          <w:tcPr>
            <w:tcW w:w="8364" w:type="dxa"/>
            <w:shd w:val="clear" w:color="auto" w:fill="auto"/>
            <w:hideMark/>
          </w:tcPr>
          <w:p w:rsidR="007B7715" w:rsidRPr="007B7715" w:rsidRDefault="00183C6F" w:rsidP="00D375AF">
            <w:pPr>
              <w:rPr>
                <w:sz w:val="18"/>
                <w:szCs w:val="18"/>
                <w:lang w:val="en-US"/>
              </w:rPr>
            </w:pPr>
            <w:r>
              <w:rPr>
                <w:sz w:val="18"/>
                <w:szCs w:val="18"/>
                <w:lang w:val="en-US"/>
              </w:rPr>
              <w:t>D</w:t>
            </w:r>
            <w:r w:rsidR="002D6CC2" w:rsidRPr="002D6CC2">
              <w:rPr>
                <w:sz w:val="18"/>
                <w:szCs w:val="18"/>
                <w:lang w:val="en-US"/>
              </w:rPr>
              <w:t>ue to the operating loss on BTA Bank because of the costs for the change in the value of the bonds on the restoration on “BTA Bank” JSC</w:t>
            </w:r>
          </w:p>
        </w:tc>
        <w:tc>
          <w:tcPr>
            <w:tcW w:w="1700" w:type="dxa"/>
            <w:shd w:val="clear" w:color="auto" w:fill="auto"/>
            <w:noWrap/>
            <w:vAlign w:val="center"/>
            <w:hideMark/>
          </w:tcPr>
          <w:p w:rsidR="007B7715" w:rsidRPr="004439C1" w:rsidRDefault="007B7715" w:rsidP="004439C1">
            <w:pPr>
              <w:jc w:val="center"/>
              <w:rPr>
                <w:sz w:val="18"/>
                <w:szCs w:val="18"/>
                <w:lang w:val="en-US"/>
              </w:rPr>
            </w:pPr>
            <w:r w:rsidRPr="00326D65">
              <w:rPr>
                <w:sz w:val="18"/>
                <w:szCs w:val="18"/>
              </w:rPr>
              <w:t>-6</w:t>
            </w:r>
            <w:r w:rsidR="002D6CC2">
              <w:rPr>
                <w:sz w:val="18"/>
                <w:szCs w:val="18"/>
              </w:rPr>
              <w:t>3</w:t>
            </w:r>
            <w:r w:rsidR="004439C1">
              <w:rPr>
                <w:sz w:val="18"/>
                <w:szCs w:val="18"/>
                <w:lang w:val="en-US"/>
              </w:rPr>
              <w:t>1</w:t>
            </w:r>
          </w:p>
        </w:tc>
      </w:tr>
      <w:tr w:rsidR="007B7715" w:rsidRPr="0049185F" w:rsidTr="000E2F90">
        <w:trPr>
          <w:trHeight w:val="1613"/>
        </w:trPr>
        <w:tc>
          <w:tcPr>
            <w:tcW w:w="8364" w:type="dxa"/>
            <w:shd w:val="clear" w:color="auto" w:fill="auto"/>
            <w:hideMark/>
          </w:tcPr>
          <w:p w:rsidR="007B7715" w:rsidRPr="007B7715" w:rsidRDefault="007B7715" w:rsidP="004E4765">
            <w:pPr>
              <w:rPr>
                <w:sz w:val="18"/>
                <w:szCs w:val="18"/>
                <w:lang w:val="en-US"/>
              </w:rPr>
            </w:pPr>
            <w:r w:rsidRPr="007B7715">
              <w:rPr>
                <w:sz w:val="18"/>
                <w:szCs w:val="18"/>
                <w:lang w:val="en-US"/>
              </w:rPr>
              <w:t>The excess of the rate of increase in the cost over the rate of revenue growth, mainly due to:</w:t>
            </w:r>
          </w:p>
          <w:p w:rsidR="007B7715" w:rsidRPr="007B7715" w:rsidRDefault="007B7715" w:rsidP="004E4765">
            <w:pPr>
              <w:rPr>
                <w:sz w:val="18"/>
                <w:szCs w:val="18"/>
                <w:lang w:val="en-US"/>
              </w:rPr>
            </w:pPr>
            <w:r w:rsidRPr="007B7715">
              <w:rPr>
                <w:sz w:val="18"/>
                <w:szCs w:val="18"/>
                <w:lang w:val="en-US"/>
              </w:rPr>
              <w:t xml:space="preserve">• increase in the cost of works and services (transport, electricity) and raw materials by KZT </w:t>
            </w:r>
            <w:r w:rsidR="00F572FC" w:rsidRPr="00F572FC">
              <w:rPr>
                <w:sz w:val="18"/>
                <w:szCs w:val="18"/>
                <w:lang w:val="en-US"/>
              </w:rPr>
              <w:t>175</w:t>
            </w:r>
            <w:r w:rsidRPr="007B7715">
              <w:rPr>
                <w:sz w:val="18"/>
                <w:szCs w:val="18"/>
                <w:lang w:val="en-US"/>
              </w:rPr>
              <w:t xml:space="preserve"> billion </w:t>
            </w:r>
          </w:p>
          <w:p w:rsidR="007B7715" w:rsidRPr="007B7715" w:rsidRDefault="007B7715" w:rsidP="0053049D">
            <w:pPr>
              <w:rPr>
                <w:sz w:val="18"/>
                <w:szCs w:val="18"/>
                <w:lang w:val="en-US"/>
              </w:rPr>
            </w:pPr>
            <w:r w:rsidRPr="007B7715">
              <w:rPr>
                <w:sz w:val="18"/>
                <w:szCs w:val="18"/>
                <w:lang w:val="en-US"/>
              </w:rPr>
              <w:t xml:space="preserve">• increases of wages of production personnel and related taxes (population growth, LCF indexing) by KZT42.7 </w:t>
            </w:r>
            <w:r w:rsidR="000A43AE">
              <w:rPr>
                <w:sz w:val="18"/>
                <w:szCs w:val="18"/>
                <w:lang w:val="en-US"/>
              </w:rPr>
              <w:t>billion</w:t>
            </w:r>
            <w:r w:rsidRPr="007B7715">
              <w:rPr>
                <w:sz w:val="18"/>
                <w:szCs w:val="18"/>
                <w:lang w:val="en-US"/>
              </w:rPr>
              <w:t xml:space="preserve"> </w:t>
            </w:r>
            <w:r w:rsidR="0053049D">
              <w:rPr>
                <w:sz w:val="18"/>
                <w:szCs w:val="18"/>
                <w:lang w:val="en-US"/>
              </w:rPr>
              <w:t>due to</w:t>
            </w:r>
            <w:r w:rsidRPr="007B7715">
              <w:rPr>
                <w:sz w:val="18"/>
                <w:szCs w:val="18"/>
                <w:lang w:val="en-US"/>
              </w:rPr>
              <w:t xml:space="preserve"> creating two business units in EP KMG, commissioning of facilities of the new railway lines </w:t>
            </w:r>
            <w:proofErr w:type="spellStart"/>
            <w:r w:rsidRPr="007B7715">
              <w:rPr>
                <w:sz w:val="18"/>
                <w:szCs w:val="18"/>
                <w:lang w:val="en-US"/>
              </w:rPr>
              <w:t>Korgas-Zhetyshen</w:t>
            </w:r>
            <w:proofErr w:type="spellEnd"/>
            <w:r w:rsidRPr="007B7715">
              <w:rPr>
                <w:sz w:val="18"/>
                <w:szCs w:val="18"/>
                <w:lang w:val="en-US"/>
              </w:rPr>
              <w:t xml:space="preserve"> and </w:t>
            </w:r>
            <w:proofErr w:type="spellStart"/>
            <w:r w:rsidRPr="007B7715">
              <w:rPr>
                <w:sz w:val="18"/>
                <w:szCs w:val="18"/>
                <w:lang w:val="en-US"/>
              </w:rPr>
              <w:t>Uzen</w:t>
            </w:r>
            <w:proofErr w:type="spellEnd"/>
            <w:r w:rsidRPr="007B7715">
              <w:rPr>
                <w:sz w:val="18"/>
                <w:szCs w:val="18"/>
                <w:lang w:val="en-US"/>
              </w:rPr>
              <w:t>-state border with Turkmenistan, the opening of new railway stations, the introduction of new passenger routes, the creation of new organizations on alternative energy, expanding the geography of flights and fleet of Air Astana.</w:t>
            </w:r>
          </w:p>
        </w:tc>
        <w:tc>
          <w:tcPr>
            <w:tcW w:w="1700" w:type="dxa"/>
            <w:shd w:val="clear" w:color="auto" w:fill="auto"/>
            <w:noWrap/>
            <w:vAlign w:val="center"/>
            <w:hideMark/>
          </w:tcPr>
          <w:p w:rsidR="007B7715" w:rsidRPr="00627857" w:rsidRDefault="00627857" w:rsidP="00F572FC">
            <w:pPr>
              <w:jc w:val="center"/>
              <w:rPr>
                <w:color w:val="000000"/>
                <w:sz w:val="18"/>
                <w:szCs w:val="18"/>
                <w:lang w:val="en-US"/>
              </w:rPr>
            </w:pPr>
            <w:r>
              <w:rPr>
                <w:color w:val="000000"/>
                <w:sz w:val="18"/>
                <w:szCs w:val="18"/>
              </w:rPr>
              <w:t>-2</w:t>
            </w:r>
            <w:r w:rsidR="008E5CE6">
              <w:rPr>
                <w:color w:val="000000"/>
                <w:sz w:val="18"/>
                <w:szCs w:val="18"/>
              </w:rPr>
              <w:t>1</w:t>
            </w:r>
            <w:r w:rsidR="00F572FC">
              <w:rPr>
                <w:color w:val="000000"/>
                <w:sz w:val="18"/>
                <w:szCs w:val="18"/>
              </w:rPr>
              <w:t>8</w:t>
            </w:r>
          </w:p>
        </w:tc>
      </w:tr>
      <w:tr w:rsidR="007B7715" w:rsidRPr="007B7715" w:rsidTr="000E2F90">
        <w:trPr>
          <w:trHeight w:val="281"/>
        </w:trPr>
        <w:tc>
          <w:tcPr>
            <w:tcW w:w="8364" w:type="dxa"/>
            <w:shd w:val="clear" w:color="auto" w:fill="auto"/>
          </w:tcPr>
          <w:p w:rsidR="007B7715" w:rsidRPr="007B7715" w:rsidRDefault="007B7715" w:rsidP="00617070">
            <w:pPr>
              <w:rPr>
                <w:sz w:val="18"/>
                <w:szCs w:val="18"/>
                <w:lang w:val="en-US"/>
              </w:rPr>
            </w:pPr>
            <w:r w:rsidRPr="007B7715">
              <w:rPr>
                <w:sz w:val="18"/>
                <w:szCs w:val="18"/>
                <w:lang w:val="en-US"/>
              </w:rPr>
              <w:t>Decline in revenue from the sale of uranium products</w:t>
            </w:r>
          </w:p>
        </w:tc>
        <w:tc>
          <w:tcPr>
            <w:tcW w:w="1700" w:type="dxa"/>
            <w:shd w:val="clear" w:color="auto" w:fill="auto"/>
            <w:noWrap/>
            <w:vAlign w:val="center"/>
          </w:tcPr>
          <w:p w:rsidR="007B7715" w:rsidRPr="00326D65" w:rsidRDefault="007B7715" w:rsidP="00A20E13">
            <w:pPr>
              <w:jc w:val="center"/>
              <w:rPr>
                <w:color w:val="000000"/>
                <w:sz w:val="18"/>
                <w:szCs w:val="18"/>
              </w:rPr>
            </w:pPr>
            <w:r w:rsidRPr="00326D65">
              <w:rPr>
                <w:color w:val="000000"/>
                <w:sz w:val="18"/>
                <w:szCs w:val="18"/>
              </w:rPr>
              <w:t>-20</w:t>
            </w:r>
          </w:p>
        </w:tc>
      </w:tr>
      <w:tr w:rsidR="007B7715" w:rsidRPr="007B7715" w:rsidTr="000E2F90">
        <w:trPr>
          <w:trHeight w:val="281"/>
        </w:trPr>
        <w:tc>
          <w:tcPr>
            <w:tcW w:w="8364" w:type="dxa"/>
            <w:shd w:val="clear" w:color="auto" w:fill="auto"/>
          </w:tcPr>
          <w:p w:rsidR="007B7715" w:rsidRPr="007B7715" w:rsidRDefault="007B7715" w:rsidP="00617070">
            <w:pPr>
              <w:rPr>
                <w:sz w:val="18"/>
                <w:szCs w:val="18"/>
                <w:lang w:val="en-US"/>
              </w:rPr>
            </w:pPr>
            <w:r w:rsidRPr="007B7715">
              <w:rPr>
                <w:sz w:val="18"/>
                <w:szCs w:val="18"/>
                <w:lang w:val="en-US"/>
              </w:rPr>
              <w:t xml:space="preserve">Change in share of income, mostly </w:t>
            </w:r>
            <w:r>
              <w:rPr>
                <w:sz w:val="18"/>
                <w:szCs w:val="18"/>
                <w:lang w:val="en-US"/>
              </w:rPr>
              <w:t xml:space="preserve">of </w:t>
            </w:r>
            <w:r w:rsidRPr="007B7715">
              <w:rPr>
                <w:sz w:val="18"/>
                <w:szCs w:val="18"/>
                <w:lang w:val="en-US"/>
              </w:rPr>
              <w:t>joint ventures and associated companies of oil and gas and mining segments</w:t>
            </w:r>
          </w:p>
        </w:tc>
        <w:tc>
          <w:tcPr>
            <w:tcW w:w="1700" w:type="dxa"/>
            <w:shd w:val="clear" w:color="auto" w:fill="auto"/>
            <w:noWrap/>
            <w:vAlign w:val="center"/>
          </w:tcPr>
          <w:p w:rsidR="007B7715" w:rsidRPr="00A20E13" w:rsidRDefault="007B7715" w:rsidP="00A20E13">
            <w:pPr>
              <w:jc w:val="center"/>
              <w:rPr>
                <w:sz w:val="18"/>
                <w:szCs w:val="18"/>
                <w:lang w:val="en-US"/>
              </w:rPr>
            </w:pPr>
            <w:r w:rsidRPr="00A20E13">
              <w:rPr>
                <w:sz w:val="18"/>
                <w:szCs w:val="18"/>
                <w:lang w:val="en-US"/>
              </w:rPr>
              <w:t>-20</w:t>
            </w:r>
          </w:p>
        </w:tc>
      </w:tr>
      <w:tr w:rsidR="007B7715" w:rsidRPr="0049185F" w:rsidTr="000E2F90">
        <w:trPr>
          <w:trHeight w:val="281"/>
        </w:trPr>
        <w:tc>
          <w:tcPr>
            <w:tcW w:w="8364" w:type="dxa"/>
            <w:shd w:val="clear" w:color="auto" w:fill="auto"/>
          </w:tcPr>
          <w:p w:rsidR="007B7715" w:rsidRPr="0049185F" w:rsidRDefault="007B7715" w:rsidP="00770BC8">
            <w:pPr>
              <w:rPr>
                <w:color w:val="000000"/>
                <w:sz w:val="18"/>
                <w:szCs w:val="18"/>
                <w:lang w:val="en-US"/>
              </w:rPr>
            </w:pPr>
            <w:r>
              <w:rPr>
                <w:color w:val="000000"/>
                <w:sz w:val="18"/>
                <w:szCs w:val="18"/>
                <w:lang w:val="en-US"/>
              </w:rPr>
              <w:t>Others</w:t>
            </w:r>
          </w:p>
        </w:tc>
        <w:tc>
          <w:tcPr>
            <w:tcW w:w="1700" w:type="dxa"/>
            <w:shd w:val="clear" w:color="auto" w:fill="auto"/>
            <w:noWrap/>
            <w:vAlign w:val="center"/>
          </w:tcPr>
          <w:p w:rsidR="007B7715" w:rsidRPr="004439C1" w:rsidRDefault="004439C1" w:rsidP="00F572FC">
            <w:pPr>
              <w:jc w:val="center"/>
              <w:rPr>
                <w:b/>
                <w:bCs/>
                <w:sz w:val="18"/>
                <w:szCs w:val="18"/>
                <w:lang w:val="en-US"/>
              </w:rPr>
            </w:pPr>
            <w:r>
              <w:rPr>
                <w:sz w:val="18"/>
                <w:szCs w:val="18"/>
                <w:lang w:val="en-US"/>
              </w:rPr>
              <w:t>59</w:t>
            </w:r>
          </w:p>
        </w:tc>
      </w:tr>
    </w:tbl>
    <w:p w:rsidR="003A1285" w:rsidRDefault="003A1285" w:rsidP="003A1285">
      <w:pPr>
        <w:tabs>
          <w:tab w:val="left" w:pos="426"/>
        </w:tabs>
        <w:autoSpaceDE w:val="0"/>
        <w:autoSpaceDN w:val="0"/>
        <w:adjustRightInd w:val="0"/>
        <w:ind w:left="-709" w:firstLine="709"/>
        <w:jc w:val="both"/>
        <w:rPr>
          <w:rStyle w:val="apple-style-span"/>
          <w:sz w:val="22"/>
          <w:szCs w:val="22"/>
          <w:shd w:val="clear" w:color="auto" w:fill="FFFFFF"/>
        </w:rPr>
      </w:pPr>
    </w:p>
    <w:p w:rsidR="00C10D68" w:rsidRDefault="00C10D68" w:rsidP="003A1285">
      <w:pPr>
        <w:tabs>
          <w:tab w:val="left" w:pos="426"/>
        </w:tabs>
        <w:autoSpaceDE w:val="0"/>
        <w:autoSpaceDN w:val="0"/>
        <w:adjustRightInd w:val="0"/>
        <w:ind w:left="-709" w:firstLine="709"/>
        <w:jc w:val="both"/>
        <w:rPr>
          <w:rStyle w:val="apple-style-span"/>
          <w:sz w:val="22"/>
          <w:szCs w:val="22"/>
          <w:shd w:val="clear" w:color="auto" w:fill="FFFFFF"/>
        </w:rPr>
      </w:pPr>
    </w:p>
    <w:p w:rsidR="00C10D68" w:rsidRDefault="008D1949" w:rsidP="003A1285">
      <w:pPr>
        <w:tabs>
          <w:tab w:val="left" w:pos="426"/>
        </w:tabs>
        <w:autoSpaceDE w:val="0"/>
        <w:autoSpaceDN w:val="0"/>
        <w:adjustRightInd w:val="0"/>
        <w:ind w:left="-709" w:firstLine="709"/>
        <w:jc w:val="both"/>
        <w:rPr>
          <w:rStyle w:val="apple-style-span"/>
          <w:sz w:val="22"/>
          <w:szCs w:val="22"/>
          <w:shd w:val="clear" w:color="auto" w:fill="FFFFFF"/>
        </w:rPr>
      </w:pPr>
      <w:r>
        <w:rPr>
          <w:noProof/>
        </w:rPr>
        <w:drawing>
          <wp:inline distT="0" distB="0" distL="0" distR="0" wp14:anchorId="269BA227" wp14:editId="3BA8706F">
            <wp:extent cx="4867275" cy="3429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0D68" w:rsidRDefault="00C10D68" w:rsidP="003A1285">
      <w:pPr>
        <w:tabs>
          <w:tab w:val="left" w:pos="426"/>
        </w:tabs>
        <w:autoSpaceDE w:val="0"/>
        <w:autoSpaceDN w:val="0"/>
        <w:adjustRightInd w:val="0"/>
        <w:ind w:left="-709" w:firstLine="709"/>
        <w:jc w:val="both"/>
        <w:rPr>
          <w:rStyle w:val="apple-style-span"/>
          <w:sz w:val="22"/>
          <w:szCs w:val="22"/>
          <w:shd w:val="clear" w:color="auto" w:fill="FFFFFF"/>
        </w:rPr>
      </w:pPr>
    </w:p>
    <w:p w:rsidR="00911765" w:rsidRDefault="00911765" w:rsidP="003A1285">
      <w:pPr>
        <w:tabs>
          <w:tab w:val="left" w:pos="426"/>
        </w:tabs>
        <w:autoSpaceDE w:val="0"/>
        <w:autoSpaceDN w:val="0"/>
        <w:adjustRightInd w:val="0"/>
        <w:ind w:left="-709" w:firstLine="709"/>
        <w:jc w:val="both"/>
        <w:rPr>
          <w:rStyle w:val="apple-style-span"/>
          <w:sz w:val="22"/>
          <w:szCs w:val="22"/>
          <w:shd w:val="clear" w:color="auto" w:fill="FFFFFF"/>
        </w:rPr>
      </w:pPr>
    </w:p>
    <w:p w:rsidR="008A1168" w:rsidRPr="008A1168" w:rsidRDefault="008A1168" w:rsidP="008A1168">
      <w:pPr>
        <w:tabs>
          <w:tab w:val="left" w:pos="426"/>
          <w:tab w:val="left" w:pos="993"/>
        </w:tabs>
        <w:autoSpaceDE w:val="0"/>
        <w:autoSpaceDN w:val="0"/>
        <w:adjustRightInd w:val="0"/>
        <w:ind w:left="-709" w:firstLine="709"/>
        <w:jc w:val="both"/>
        <w:rPr>
          <w:rStyle w:val="apple-style-span"/>
          <w:sz w:val="22"/>
          <w:szCs w:val="22"/>
          <w:shd w:val="clear" w:color="auto" w:fill="FFFFFF"/>
          <w:lang w:val="en-US"/>
        </w:rPr>
      </w:pPr>
      <w:r w:rsidRPr="008A1168">
        <w:rPr>
          <w:rStyle w:val="apple-style-span"/>
          <w:sz w:val="22"/>
          <w:szCs w:val="22"/>
          <w:shd w:val="clear" w:color="auto" w:fill="FFFFFF"/>
          <w:lang w:val="en-US"/>
        </w:rPr>
        <w:lastRenderedPageBreak/>
        <w:t xml:space="preserve">The comparison shows that the impact of changes </w:t>
      </w:r>
      <w:r>
        <w:rPr>
          <w:rStyle w:val="apple-style-span"/>
          <w:sz w:val="22"/>
          <w:szCs w:val="22"/>
          <w:shd w:val="clear" w:color="auto" w:fill="FFFFFF"/>
          <w:lang w:val="en-US"/>
        </w:rPr>
        <w:t>in GAE</w:t>
      </w:r>
      <w:r w:rsidRPr="008A1168">
        <w:rPr>
          <w:rStyle w:val="apple-style-span"/>
          <w:sz w:val="22"/>
          <w:szCs w:val="22"/>
          <w:shd w:val="clear" w:color="auto" w:fill="FFFFFF"/>
          <w:lang w:val="en-US"/>
        </w:rPr>
        <w:t xml:space="preserve"> and costs </w:t>
      </w:r>
      <w:r>
        <w:rPr>
          <w:rStyle w:val="apple-style-span"/>
          <w:sz w:val="22"/>
          <w:szCs w:val="22"/>
          <w:shd w:val="clear" w:color="auto" w:fill="FFFFFF"/>
          <w:lang w:val="en-US"/>
        </w:rPr>
        <w:t xml:space="preserve">for </w:t>
      </w:r>
      <w:r w:rsidRPr="008A1168">
        <w:rPr>
          <w:rStyle w:val="apple-style-span"/>
          <w:sz w:val="22"/>
          <w:szCs w:val="22"/>
          <w:shd w:val="clear" w:color="auto" w:fill="FFFFFF"/>
          <w:lang w:val="en-US"/>
        </w:rPr>
        <w:t xml:space="preserve">transportation and sales </w:t>
      </w:r>
      <w:r>
        <w:rPr>
          <w:rStyle w:val="apple-style-span"/>
          <w:sz w:val="22"/>
          <w:szCs w:val="22"/>
          <w:shd w:val="clear" w:color="auto" w:fill="FFFFFF"/>
          <w:lang w:val="en-US"/>
        </w:rPr>
        <w:t>on the</w:t>
      </w:r>
      <w:r w:rsidRPr="008A1168">
        <w:rPr>
          <w:rStyle w:val="apple-style-span"/>
          <w:sz w:val="22"/>
          <w:szCs w:val="22"/>
          <w:shd w:val="clear" w:color="auto" w:fill="FFFFFF"/>
          <w:lang w:val="en-US"/>
        </w:rPr>
        <w:t xml:space="preserve"> change in net profit compared to the same period in 2011 is low. The change in net income </w:t>
      </w:r>
      <w:r>
        <w:rPr>
          <w:rStyle w:val="apple-style-span"/>
          <w:sz w:val="22"/>
          <w:szCs w:val="22"/>
          <w:shd w:val="clear" w:color="auto" w:fill="FFFFFF"/>
          <w:lang w:val="en-US"/>
        </w:rPr>
        <w:t xml:space="preserve">is </w:t>
      </w:r>
      <w:r w:rsidRPr="008A1168">
        <w:rPr>
          <w:rStyle w:val="apple-style-span"/>
          <w:sz w:val="22"/>
          <w:szCs w:val="22"/>
          <w:shd w:val="clear" w:color="auto" w:fill="FFFFFF"/>
          <w:lang w:val="en-US"/>
        </w:rPr>
        <w:t xml:space="preserve">negatively influenced by </w:t>
      </w:r>
      <w:r w:rsidRPr="008A1168">
        <w:rPr>
          <w:rStyle w:val="apple-style-span"/>
          <w:b/>
          <w:sz w:val="22"/>
          <w:szCs w:val="22"/>
          <w:shd w:val="clear" w:color="auto" w:fill="FFFFFF"/>
          <w:lang w:val="en-US"/>
        </w:rPr>
        <w:t>cost and other operating loss</w:t>
      </w:r>
      <w:r w:rsidRPr="008A1168">
        <w:rPr>
          <w:rStyle w:val="apple-style-span"/>
          <w:sz w:val="22"/>
          <w:szCs w:val="22"/>
          <w:shd w:val="clear" w:color="auto" w:fill="FFFFFF"/>
          <w:lang w:val="en-US"/>
        </w:rPr>
        <w:t>.</w:t>
      </w:r>
    </w:p>
    <w:p w:rsidR="008A1168" w:rsidRDefault="008A1168" w:rsidP="008A1168">
      <w:pPr>
        <w:tabs>
          <w:tab w:val="left" w:pos="426"/>
          <w:tab w:val="left" w:pos="993"/>
        </w:tabs>
        <w:autoSpaceDE w:val="0"/>
        <w:autoSpaceDN w:val="0"/>
        <w:adjustRightInd w:val="0"/>
        <w:ind w:left="-709" w:firstLine="709"/>
        <w:jc w:val="both"/>
        <w:rPr>
          <w:rStyle w:val="apple-style-span"/>
          <w:sz w:val="22"/>
          <w:szCs w:val="22"/>
          <w:shd w:val="clear" w:color="auto" w:fill="FFFFFF"/>
          <w:lang w:val="en-US"/>
        </w:rPr>
      </w:pPr>
      <w:r w:rsidRPr="008A1168">
        <w:rPr>
          <w:rStyle w:val="apple-style-span"/>
          <w:sz w:val="22"/>
          <w:szCs w:val="22"/>
          <w:shd w:val="clear" w:color="auto" w:fill="FFFFFF"/>
          <w:lang w:val="en-US"/>
        </w:rPr>
        <w:t xml:space="preserve">Costs in the reporting period increased compared to the same period in 2011, and the income from sales and interest income was 73% and the </w:t>
      </w:r>
      <w:r>
        <w:rPr>
          <w:rStyle w:val="apple-style-span"/>
          <w:sz w:val="22"/>
          <w:szCs w:val="22"/>
          <w:shd w:val="clear" w:color="auto" w:fill="FFFFFF"/>
          <w:lang w:val="en-US"/>
        </w:rPr>
        <w:t>operating expenses</w:t>
      </w:r>
      <w:r w:rsidRPr="008A1168">
        <w:rPr>
          <w:rStyle w:val="apple-style-span"/>
          <w:sz w:val="22"/>
          <w:szCs w:val="22"/>
          <w:shd w:val="clear" w:color="auto" w:fill="FFFFFF"/>
          <w:lang w:val="en-US"/>
        </w:rPr>
        <w:t xml:space="preserve"> - 63%, while at the end of 2011 </w:t>
      </w:r>
      <w:r>
        <w:rPr>
          <w:rStyle w:val="apple-style-span"/>
          <w:sz w:val="22"/>
          <w:szCs w:val="22"/>
          <w:shd w:val="clear" w:color="auto" w:fill="FFFFFF"/>
          <w:lang w:val="en-US"/>
        </w:rPr>
        <w:t xml:space="preserve">they were </w:t>
      </w:r>
      <w:r w:rsidRPr="008A1168">
        <w:rPr>
          <w:rStyle w:val="apple-style-span"/>
          <w:sz w:val="22"/>
          <w:szCs w:val="22"/>
          <w:shd w:val="clear" w:color="auto" w:fill="FFFFFF"/>
          <w:lang w:val="en-US"/>
        </w:rPr>
        <w:t>72% and 75% respectively</w:t>
      </w:r>
      <w:r>
        <w:rPr>
          <w:rStyle w:val="apple-style-span"/>
          <w:sz w:val="22"/>
          <w:szCs w:val="22"/>
          <w:shd w:val="clear" w:color="auto" w:fill="FFFFFF"/>
          <w:lang w:val="en-US"/>
        </w:rPr>
        <w:t>.</w:t>
      </w:r>
      <w:r w:rsidRPr="008A1168">
        <w:rPr>
          <w:rStyle w:val="apple-style-span"/>
          <w:sz w:val="22"/>
          <w:szCs w:val="22"/>
          <w:shd w:val="clear" w:color="auto" w:fill="FFFFFF"/>
          <w:lang w:val="en-US"/>
        </w:rPr>
        <w:t xml:space="preserve"> The main growth drivers are the rising costs </w:t>
      </w:r>
      <w:r>
        <w:rPr>
          <w:rStyle w:val="apple-style-span"/>
          <w:sz w:val="22"/>
          <w:szCs w:val="22"/>
          <w:shd w:val="clear" w:color="auto" w:fill="FFFFFF"/>
          <w:lang w:val="en-US"/>
        </w:rPr>
        <w:t>for</w:t>
      </w:r>
      <w:r w:rsidRPr="008A1168">
        <w:rPr>
          <w:rStyle w:val="apple-style-span"/>
          <w:sz w:val="22"/>
          <w:szCs w:val="22"/>
          <w:shd w:val="clear" w:color="auto" w:fill="FFFFFF"/>
          <w:lang w:val="en-US"/>
        </w:rPr>
        <w:t xml:space="preserve"> materials, supplies and wages because of the rising cost </w:t>
      </w:r>
      <w:r w:rsidR="00D56922">
        <w:rPr>
          <w:rStyle w:val="apple-style-span"/>
          <w:sz w:val="22"/>
          <w:szCs w:val="22"/>
          <w:shd w:val="clear" w:color="auto" w:fill="FFFFFF"/>
          <w:lang w:val="en-US"/>
        </w:rPr>
        <w:t>for</w:t>
      </w:r>
      <w:r w:rsidRPr="008A1168">
        <w:rPr>
          <w:rStyle w:val="apple-style-span"/>
          <w:sz w:val="22"/>
          <w:szCs w:val="22"/>
          <w:shd w:val="clear" w:color="auto" w:fill="FFFFFF"/>
          <w:lang w:val="en-US"/>
        </w:rPr>
        <w:t xml:space="preserve"> fuel and </w:t>
      </w:r>
      <w:r w:rsidR="00D56922">
        <w:rPr>
          <w:rStyle w:val="apple-style-span"/>
          <w:sz w:val="22"/>
          <w:szCs w:val="22"/>
          <w:shd w:val="clear" w:color="auto" w:fill="FFFFFF"/>
          <w:lang w:val="en-US"/>
        </w:rPr>
        <w:t>GSM</w:t>
      </w:r>
      <w:r w:rsidRPr="008A1168">
        <w:rPr>
          <w:rStyle w:val="apple-style-span"/>
          <w:sz w:val="22"/>
          <w:szCs w:val="22"/>
          <w:shd w:val="clear" w:color="auto" w:fill="FFFFFF"/>
          <w:lang w:val="en-US"/>
        </w:rPr>
        <w:t xml:space="preserve"> costs and the number of production staff.</w:t>
      </w:r>
    </w:p>
    <w:p w:rsidR="00D56922" w:rsidRDefault="00D56922" w:rsidP="008A1168">
      <w:pPr>
        <w:tabs>
          <w:tab w:val="left" w:pos="426"/>
          <w:tab w:val="left" w:pos="993"/>
        </w:tabs>
        <w:autoSpaceDE w:val="0"/>
        <w:autoSpaceDN w:val="0"/>
        <w:adjustRightInd w:val="0"/>
        <w:ind w:left="-709" w:firstLine="709"/>
        <w:jc w:val="both"/>
        <w:rPr>
          <w:rStyle w:val="apple-style-span"/>
          <w:sz w:val="22"/>
          <w:szCs w:val="22"/>
          <w:shd w:val="clear" w:color="auto" w:fill="FFFFFF"/>
          <w:lang w:val="en-US"/>
        </w:rPr>
      </w:pPr>
    </w:p>
    <w:tbl>
      <w:tblPr>
        <w:tblW w:w="10080" w:type="dxa"/>
        <w:tblInd w:w="-782" w:type="dxa"/>
        <w:tblLook w:val="00A0" w:firstRow="1" w:lastRow="0" w:firstColumn="1" w:lastColumn="0" w:noHBand="0" w:noVBand="0"/>
      </w:tblPr>
      <w:tblGrid>
        <w:gridCol w:w="4828"/>
        <w:gridCol w:w="1405"/>
        <w:gridCol w:w="1327"/>
        <w:gridCol w:w="1173"/>
        <w:gridCol w:w="1347"/>
      </w:tblGrid>
      <w:tr w:rsidR="00D56922" w:rsidRPr="00D135B1" w:rsidTr="000E2F90">
        <w:trPr>
          <w:trHeight w:val="314"/>
        </w:trPr>
        <w:tc>
          <w:tcPr>
            <w:tcW w:w="4828" w:type="dxa"/>
            <w:tcBorders>
              <w:top w:val="single" w:sz="4" w:space="0" w:color="auto"/>
              <w:left w:val="single" w:sz="4" w:space="0" w:color="auto"/>
              <w:bottom w:val="single" w:sz="4" w:space="0" w:color="auto"/>
              <w:right w:val="single" w:sz="4" w:space="0" w:color="auto"/>
            </w:tcBorders>
            <w:vAlign w:val="bottom"/>
          </w:tcPr>
          <w:p w:rsidR="00D56922" w:rsidRPr="00617070" w:rsidRDefault="00D56922" w:rsidP="00617070">
            <w:pPr>
              <w:rPr>
                <w:color w:val="000000"/>
                <w:sz w:val="18"/>
                <w:szCs w:val="18"/>
                <w:lang w:val="en-US"/>
              </w:rPr>
            </w:pPr>
            <w:r w:rsidRPr="00617070">
              <w:rPr>
                <w:color w:val="000000"/>
                <w:sz w:val="18"/>
                <w:szCs w:val="18"/>
                <w:lang w:val="en-US"/>
              </w:rPr>
              <w:t> </w:t>
            </w:r>
          </w:p>
        </w:tc>
        <w:tc>
          <w:tcPr>
            <w:tcW w:w="1405" w:type="dxa"/>
            <w:tcBorders>
              <w:top w:val="single" w:sz="4" w:space="0" w:color="auto"/>
              <w:left w:val="nil"/>
              <w:bottom w:val="single" w:sz="4" w:space="0" w:color="auto"/>
              <w:right w:val="single" w:sz="4" w:space="0" w:color="auto"/>
            </w:tcBorders>
            <w:vAlign w:val="center"/>
          </w:tcPr>
          <w:p w:rsidR="00D56922" w:rsidRPr="00D56922" w:rsidRDefault="00D56922" w:rsidP="00617070">
            <w:pPr>
              <w:jc w:val="center"/>
              <w:rPr>
                <w:b/>
                <w:bCs/>
                <w:color w:val="000000"/>
                <w:sz w:val="18"/>
                <w:szCs w:val="18"/>
                <w:lang w:val="en-US"/>
              </w:rPr>
            </w:pPr>
            <w:r>
              <w:rPr>
                <w:b/>
                <w:bCs/>
                <w:color w:val="000000"/>
                <w:sz w:val="18"/>
                <w:szCs w:val="18"/>
                <w:lang w:val="en-US"/>
              </w:rPr>
              <w:t>H1 2012</w:t>
            </w:r>
          </w:p>
        </w:tc>
        <w:tc>
          <w:tcPr>
            <w:tcW w:w="1327" w:type="dxa"/>
            <w:tcBorders>
              <w:top w:val="single" w:sz="4" w:space="0" w:color="auto"/>
              <w:left w:val="nil"/>
              <w:bottom w:val="single" w:sz="4" w:space="0" w:color="auto"/>
              <w:right w:val="single" w:sz="4" w:space="0" w:color="auto"/>
            </w:tcBorders>
            <w:vAlign w:val="center"/>
          </w:tcPr>
          <w:p w:rsidR="00D56922" w:rsidRPr="00D56922" w:rsidRDefault="00D56922" w:rsidP="00617070">
            <w:pPr>
              <w:jc w:val="center"/>
              <w:rPr>
                <w:b/>
                <w:bCs/>
                <w:color w:val="000000"/>
                <w:sz w:val="18"/>
                <w:szCs w:val="18"/>
                <w:lang w:val="en-US"/>
              </w:rPr>
            </w:pPr>
            <w:r>
              <w:rPr>
                <w:b/>
                <w:bCs/>
                <w:color w:val="000000"/>
                <w:sz w:val="18"/>
                <w:szCs w:val="18"/>
                <w:lang w:val="en-US"/>
              </w:rPr>
              <w:t>H1 2011</w:t>
            </w:r>
          </w:p>
        </w:tc>
        <w:tc>
          <w:tcPr>
            <w:tcW w:w="1173" w:type="dxa"/>
            <w:tcBorders>
              <w:top w:val="single" w:sz="4" w:space="0" w:color="auto"/>
              <w:left w:val="nil"/>
              <w:bottom w:val="single" w:sz="4" w:space="0" w:color="auto"/>
              <w:right w:val="single" w:sz="4" w:space="0" w:color="auto"/>
            </w:tcBorders>
            <w:vAlign w:val="center"/>
          </w:tcPr>
          <w:p w:rsidR="00D56922" w:rsidRPr="008252D9" w:rsidRDefault="00D56922" w:rsidP="00D56922">
            <w:pPr>
              <w:tabs>
                <w:tab w:val="left" w:pos="0"/>
              </w:tabs>
              <w:jc w:val="center"/>
              <w:rPr>
                <w:b/>
                <w:bCs/>
                <w:color w:val="000000"/>
                <w:sz w:val="18"/>
                <w:szCs w:val="18"/>
                <w:lang w:val="en-US"/>
              </w:rPr>
            </w:pPr>
            <w:r>
              <w:rPr>
                <w:rFonts w:eastAsia="Calibri"/>
                <w:b/>
                <w:bCs/>
                <w:color w:val="000000"/>
                <w:sz w:val="18"/>
                <w:szCs w:val="18"/>
                <w:lang w:val="en-US"/>
              </w:rPr>
              <w:t>Change</w:t>
            </w:r>
            <w:r w:rsidRPr="008252D9">
              <w:rPr>
                <w:b/>
                <w:bCs/>
                <w:color w:val="000000"/>
                <w:sz w:val="18"/>
                <w:szCs w:val="18"/>
                <w:lang w:val="en-US"/>
              </w:rPr>
              <w:t xml:space="preserve">, </w:t>
            </w:r>
            <w:r>
              <w:rPr>
                <w:b/>
                <w:bCs/>
                <w:color w:val="000000"/>
                <w:sz w:val="18"/>
                <w:szCs w:val="18"/>
                <w:lang w:val="en-US"/>
              </w:rPr>
              <w:t xml:space="preserve">in </w:t>
            </w:r>
            <w:proofErr w:type="spellStart"/>
            <w:r>
              <w:rPr>
                <w:b/>
                <w:bCs/>
                <w:color w:val="000000"/>
                <w:sz w:val="18"/>
                <w:szCs w:val="18"/>
                <w:lang w:val="en-US"/>
              </w:rPr>
              <w:t>thous</w:t>
            </w:r>
            <w:proofErr w:type="spellEnd"/>
            <w:r w:rsidR="00D135B1">
              <w:rPr>
                <w:b/>
                <w:bCs/>
                <w:color w:val="000000"/>
                <w:sz w:val="18"/>
                <w:szCs w:val="18"/>
                <w:lang w:val="en-US"/>
              </w:rPr>
              <w:t>.</w:t>
            </w:r>
            <w:r>
              <w:rPr>
                <w:b/>
                <w:bCs/>
                <w:color w:val="000000"/>
                <w:sz w:val="18"/>
                <w:szCs w:val="18"/>
                <w:lang w:val="en-US"/>
              </w:rPr>
              <w:t xml:space="preserve"> people </w:t>
            </w:r>
          </w:p>
        </w:tc>
        <w:tc>
          <w:tcPr>
            <w:tcW w:w="1347" w:type="dxa"/>
            <w:tcBorders>
              <w:top w:val="single" w:sz="4" w:space="0" w:color="auto"/>
              <w:left w:val="single" w:sz="4" w:space="0" w:color="auto"/>
              <w:bottom w:val="single" w:sz="4" w:space="0" w:color="auto"/>
              <w:right w:val="single" w:sz="4" w:space="0" w:color="auto"/>
            </w:tcBorders>
            <w:vAlign w:val="center"/>
          </w:tcPr>
          <w:p w:rsidR="00D56922" w:rsidRPr="00D135B1" w:rsidRDefault="00D56922" w:rsidP="00D56922">
            <w:pPr>
              <w:tabs>
                <w:tab w:val="left" w:pos="0"/>
              </w:tabs>
              <w:jc w:val="center"/>
              <w:rPr>
                <w:b/>
                <w:bCs/>
                <w:color w:val="000000"/>
                <w:sz w:val="18"/>
                <w:szCs w:val="18"/>
                <w:lang w:val="en-US"/>
              </w:rPr>
            </w:pPr>
            <w:r>
              <w:rPr>
                <w:rFonts w:eastAsia="Calibri"/>
                <w:b/>
                <w:bCs/>
                <w:color w:val="000000"/>
                <w:sz w:val="18"/>
                <w:szCs w:val="18"/>
                <w:lang w:val="en-US"/>
              </w:rPr>
              <w:t>Change</w:t>
            </w:r>
            <w:r w:rsidRPr="00D135B1">
              <w:rPr>
                <w:b/>
                <w:bCs/>
                <w:color w:val="000000"/>
                <w:sz w:val="18"/>
                <w:szCs w:val="18"/>
                <w:lang w:val="en-US"/>
              </w:rPr>
              <w:t xml:space="preserve">, </w:t>
            </w:r>
            <w:r>
              <w:rPr>
                <w:b/>
                <w:bCs/>
                <w:color w:val="000000"/>
                <w:sz w:val="18"/>
                <w:szCs w:val="18"/>
                <w:lang w:val="en-US"/>
              </w:rPr>
              <w:t>in</w:t>
            </w:r>
            <w:r w:rsidRPr="00D135B1">
              <w:rPr>
                <w:b/>
                <w:bCs/>
                <w:color w:val="000000"/>
                <w:sz w:val="18"/>
                <w:szCs w:val="18"/>
                <w:lang w:val="en-US"/>
              </w:rPr>
              <w:t xml:space="preserve"> </w:t>
            </w:r>
            <w:r>
              <w:rPr>
                <w:b/>
                <w:bCs/>
                <w:color w:val="000000"/>
                <w:sz w:val="18"/>
                <w:szCs w:val="18"/>
                <w:lang w:val="en-US"/>
              </w:rPr>
              <w:t xml:space="preserve">KZT </w:t>
            </w:r>
            <w:r w:rsidR="000A43AE">
              <w:rPr>
                <w:b/>
                <w:bCs/>
                <w:color w:val="000000"/>
                <w:sz w:val="18"/>
                <w:szCs w:val="18"/>
                <w:lang w:val="en-US"/>
              </w:rPr>
              <w:t>billion</w:t>
            </w:r>
          </w:p>
        </w:tc>
      </w:tr>
      <w:tr w:rsidR="00D56922" w:rsidRPr="00D135B1" w:rsidTr="000E2F90">
        <w:trPr>
          <w:trHeight w:val="300"/>
        </w:trPr>
        <w:tc>
          <w:tcPr>
            <w:tcW w:w="4828" w:type="dxa"/>
            <w:tcBorders>
              <w:top w:val="nil"/>
              <w:left w:val="single" w:sz="4" w:space="0" w:color="auto"/>
              <w:bottom w:val="single" w:sz="4" w:space="0" w:color="auto"/>
              <w:right w:val="single" w:sz="4" w:space="0" w:color="auto"/>
            </w:tcBorders>
          </w:tcPr>
          <w:p w:rsidR="00D56922" w:rsidRPr="00D56922" w:rsidRDefault="00D56922" w:rsidP="00D56922">
            <w:pPr>
              <w:rPr>
                <w:color w:val="000000"/>
                <w:sz w:val="18"/>
                <w:szCs w:val="18"/>
                <w:lang w:val="en-US"/>
              </w:rPr>
            </w:pPr>
            <w:r w:rsidRPr="00D56922">
              <w:rPr>
                <w:color w:val="000000"/>
                <w:sz w:val="18"/>
                <w:szCs w:val="18"/>
                <w:lang w:val="en-US"/>
              </w:rPr>
              <w:t>The average number of employees (thousand</w:t>
            </w:r>
            <w:r>
              <w:rPr>
                <w:color w:val="000000"/>
                <w:sz w:val="18"/>
                <w:szCs w:val="18"/>
                <w:lang w:val="en-US"/>
              </w:rPr>
              <w:t xml:space="preserve"> people</w:t>
            </w:r>
            <w:r w:rsidRPr="00D56922">
              <w:rPr>
                <w:color w:val="000000"/>
                <w:sz w:val="18"/>
                <w:szCs w:val="18"/>
                <w:lang w:val="en-US"/>
              </w:rPr>
              <w:t xml:space="preserve">), </w:t>
            </w:r>
            <w:r>
              <w:rPr>
                <w:color w:val="000000"/>
                <w:sz w:val="18"/>
                <w:szCs w:val="18"/>
                <w:lang w:val="en-US"/>
              </w:rPr>
              <w:t>including</w:t>
            </w:r>
          </w:p>
        </w:tc>
        <w:tc>
          <w:tcPr>
            <w:tcW w:w="1405" w:type="dxa"/>
            <w:tcBorders>
              <w:top w:val="nil"/>
              <w:left w:val="nil"/>
              <w:bottom w:val="single" w:sz="4" w:space="0" w:color="auto"/>
              <w:right w:val="single" w:sz="4" w:space="0" w:color="auto"/>
            </w:tcBorders>
            <w:vAlign w:val="center"/>
          </w:tcPr>
          <w:p w:rsidR="00D56922" w:rsidRPr="007F138B" w:rsidRDefault="007F138B" w:rsidP="002E6550">
            <w:pPr>
              <w:jc w:val="center"/>
              <w:rPr>
                <w:color w:val="000000"/>
                <w:sz w:val="18"/>
                <w:szCs w:val="18"/>
              </w:rPr>
            </w:pPr>
            <w:r>
              <w:rPr>
                <w:color w:val="000000"/>
                <w:sz w:val="18"/>
                <w:szCs w:val="18"/>
              </w:rPr>
              <w:t>3</w:t>
            </w:r>
            <w:r w:rsidR="002E6550">
              <w:rPr>
                <w:color w:val="000000"/>
                <w:sz w:val="18"/>
                <w:szCs w:val="18"/>
              </w:rPr>
              <w:t>2</w:t>
            </w:r>
            <w:r>
              <w:rPr>
                <w:color w:val="000000"/>
                <w:sz w:val="18"/>
                <w:szCs w:val="18"/>
              </w:rPr>
              <w:t>6</w:t>
            </w:r>
          </w:p>
        </w:tc>
        <w:tc>
          <w:tcPr>
            <w:tcW w:w="1327" w:type="dxa"/>
            <w:tcBorders>
              <w:top w:val="nil"/>
              <w:left w:val="nil"/>
              <w:bottom w:val="single" w:sz="4" w:space="0" w:color="auto"/>
              <w:right w:val="single" w:sz="4" w:space="0" w:color="auto"/>
            </w:tcBorders>
            <w:vAlign w:val="center"/>
          </w:tcPr>
          <w:p w:rsidR="00D56922" w:rsidRPr="00D135B1" w:rsidRDefault="00D56922" w:rsidP="00617070">
            <w:pPr>
              <w:jc w:val="center"/>
              <w:rPr>
                <w:color w:val="000000"/>
                <w:sz w:val="18"/>
                <w:szCs w:val="18"/>
                <w:lang w:val="en-US"/>
              </w:rPr>
            </w:pPr>
            <w:r w:rsidRPr="00D135B1">
              <w:rPr>
                <w:color w:val="000000"/>
                <w:sz w:val="18"/>
                <w:szCs w:val="18"/>
                <w:lang w:val="en-US"/>
              </w:rPr>
              <w:t>305</w:t>
            </w:r>
          </w:p>
        </w:tc>
        <w:tc>
          <w:tcPr>
            <w:tcW w:w="1173" w:type="dxa"/>
            <w:tcBorders>
              <w:top w:val="single" w:sz="4" w:space="0" w:color="auto"/>
              <w:left w:val="nil"/>
              <w:bottom w:val="single" w:sz="4" w:space="0" w:color="auto"/>
              <w:right w:val="single" w:sz="4" w:space="0" w:color="auto"/>
            </w:tcBorders>
            <w:vAlign w:val="center"/>
          </w:tcPr>
          <w:p w:rsidR="00D56922" w:rsidRPr="007F138B" w:rsidRDefault="002E6550" w:rsidP="00617070">
            <w:pPr>
              <w:jc w:val="center"/>
              <w:rPr>
                <w:color w:val="000000"/>
                <w:sz w:val="18"/>
                <w:szCs w:val="18"/>
              </w:rPr>
            </w:pPr>
            <w:r>
              <w:rPr>
                <w:color w:val="000000"/>
                <w:sz w:val="18"/>
                <w:szCs w:val="18"/>
              </w:rPr>
              <w:t>2</w:t>
            </w:r>
            <w:r w:rsidR="007F138B">
              <w:rPr>
                <w:color w:val="000000"/>
                <w:sz w:val="18"/>
                <w:szCs w:val="18"/>
              </w:rPr>
              <w:t>1</w:t>
            </w:r>
          </w:p>
        </w:tc>
        <w:tc>
          <w:tcPr>
            <w:tcW w:w="1347" w:type="dxa"/>
            <w:tcBorders>
              <w:top w:val="single" w:sz="4" w:space="0" w:color="auto"/>
              <w:left w:val="single" w:sz="4" w:space="0" w:color="auto"/>
              <w:bottom w:val="single" w:sz="4" w:space="0" w:color="auto"/>
              <w:right w:val="single" w:sz="4" w:space="0" w:color="auto"/>
            </w:tcBorders>
            <w:vAlign w:val="center"/>
          </w:tcPr>
          <w:p w:rsidR="00D56922" w:rsidRPr="00D135B1" w:rsidRDefault="00D56922" w:rsidP="00617070">
            <w:pPr>
              <w:jc w:val="center"/>
              <w:rPr>
                <w:color w:val="000000"/>
                <w:sz w:val="18"/>
                <w:szCs w:val="18"/>
                <w:lang w:val="en-US"/>
              </w:rPr>
            </w:pPr>
            <w:r w:rsidRPr="00D135B1">
              <w:rPr>
                <w:color w:val="000000"/>
                <w:sz w:val="18"/>
                <w:szCs w:val="18"/>
                <w:lang w:val="en-US"/>
              </w:rPr>
              <w:t>49,3</w:t>
            </w:r>
          </w:p>
        </w:tc>
      </w:tr>
      <w:tr w:rsidR="00D56922" w:rsidRPr="00677C9C" w:rsidTr="000E2F90">
        <w:trPr>
          <w:trHeight w:val="300"/>
        </w:trPr>
        <w:tc>
          <w:tcPr>
            <w:tcW w:w="4828" w:type="dxa"/>
            <w:tcBorders>
              <w:top w:val="nil"/>
              <w:left w:val="single" w:sz="4" w:space="0" w:color="auto"/>
              <w:bottom w:val="single" w:sz="4" w:space="0" w:color="auto"/>
              <w:right w:val="single" w:sz="4" w:space="0" w:color="auto"/>
            </w:tcBorders>
          </w:tcPr>
          <w:p w:rsidR="00D56922" w:rsidRPr="00D135B1" w:rsidRDefault="00D56922" w:rsidP="00D56922">
            <w:pPr>
              <w:rPr>
                <w:color w:val="000000"/>
                <w:sz w:val="18"/>
                <w:szCs w:val="18"/>
                <w:lang w:val="en-US"/>
              </w:rPr>
            </w:pPr>
            <w:r w:rsidRPr="00D135B1">
              <w:rPr>
                <w:color w:val="000000"/>
                <w:sz w:val="18"/>
                <w:szCs w:val="18"/>
                <w:lang w:val="en-US"/>
              </w:rPr>
              <w:t>administrative staff</w:t>
            </w:r>
          </w:p>
        </w:tc>
        <w:tc>
          <w:tcPr>
            <w:tcW w:w="1405" w:type="dxa"/>
            <w:tcBorders>
              <w:top w:val="nil"/>
              <w:left w:val="nil"/>
              <w:bottom w:val="single" w:sz="4" w:space="0" w:color="auto"/>
              <w:right w:val="single" w:sz="4" w:space="0" w:color="auto"/>
            </w:tcBorders>
            <w:vAlign w:val="center"/>
          </w:tcPr>
          <w:p w:rsidR="00D56922" w:rsidRPr="007F138B" w:rsidRDefault="007F138B" w:rsidP="00617070">
            <w:pPr>
              <w:jc w:val="center"/>
              <w:rPr>
                <w:color w:val="000000"/>
                <w:sz w:val="18"/>
                <w:szCs w:val="18"/>
              </w:rPr>
            </w:pPr>
            <w:r>
              <w:rPr>
                <w:color w:val="000000"/>
                <w:sz w:val="18"/>
                <w:szCs w:val="18"/>
              </w:rPr>
              <w:t>29</w:t>
            </w:r>
          </w:p>
        </w:tc>
        <w:tc>
          <w:tcPr>
            <w:tcW w:w="1327" w:type="dxa"/>
            <w:tcBorders>
              <w:top w:val="nil"/>
              <w:left w:val="nil"/>
              <w:bottom w:val="single" w:sz="4" w:space="0" w:color="auto"/>
              <w:right w:val="single" w:sz="4" w:space="0" w:color="auto"/>
            </w:tcBorders>
            <w:vAlign w:val="center"/>
          </w:tcPr>
          <w:p w:rsidR="00D56922" w:rsidRPr="00677C9C" w:rsidRDefault="00D56922" w:rsidP="00617070">
            <w:pPr>
              <w:jc w:val="center"/>
              <w:rPr>
                <w:color w:val="000000"/>
                <w:sz w:val="18"/>
                <w:szCs w:val="18"/>
              </w:rPr>
            </w:pPr>
            <w:r w:rsidRPr="00D135B1">
              <w:rPr>
                <w:color w:val="000000"/>
                <w:sz w:val="18"/>
                <w:szCs w:val="18"/>
                <w:lang w:val="en-US"/>
              </w:rPr>
              <w:t>2</w:t>
            </w:r>
            <w:r w:rsidRPr="00677C9C">
              <w:rPr>
                <w:color w:val="000000"/>
                <w:sz w:val="18"/>
                <w:szCs w:val="18"/>
              </w:rPr>
              <w:t>7</w:t>
            </w:r>
          </w:p>
        </w:tc>
        <w:tc>
          <w:tcPr>
            <w:tcW w:w="1173" w:type="dxa"/>
            <w:tcBorders>
              <w:top w:val="single" w:sz="4" w:space="0" w:color="auto"/>
              <w:left w:val="nil"/>
              <w:bottom w:val="single" w:sz="4" w:space="0" w:color="auto"/>
              <w:right w:val="single" w:sz="4" w:space="0" w:color="auto"/>
            </w:tcBorders>
            <w:vAlign w:val="center"/>
          </w:tcPr>
          <w:p w:rsidR="00D56922" w:rsidRPr="00677C9C" w:rsidRDefault="007F138B" w:rsidP="00617070">
            <w:pPr>
              <w:jc w:val="center"/>
              <w:rPr>
                <w:color w:val="000000"/>
                <w:sz w:val="18"/>
                <w:szCs w:val="18"/>
              </w:rPr>
            </w:pPr>
            <w:r>
              <w:rPr>
                <w:color w:val="000000"/>
                <w:sz w:val="18"/>
                <w:szCs w:val="18"/>
              </w:rPr>
              <w:t>2</w:t>
            </w:r>
          </w:p>
        </w:tc>
        <w:tc>
          <w:tcPr>
            <w:tcW w:w="1347" w:type="dxa"/>
            <w:tcBorders>
              <w:top w:val="single" w:sz="4" w:space="0" w:color="auto"/>
              <w:left w:val="single" w:sz="4" w:space="0" w:color="auto"/>
              <w:bottom w:val="single" w:sz="4" w:space="0" w:color="auto"/>
              <w:right w:val="single" w:sz="4" w:space="0" w:color="auto"/>
            </w:tcBorders>
            <w:vAlign w:val="center"/>
          </w:tcPr>
          <w:p w:rsidR="00D56922" w:rsidRPr="00677C9C" w:rsidRDefault="00D56922" w:rsidP="00617070">
            <w:pPr>
              <w:jc w:val="center"/>
              <w:rPr>
                <w:color w:val="000000"/>
                <w:sz w:val="18"/>
                <w:szCs w:val="18"/>
              </w:rPr>
            </w:pPr>
            <w:r>
              <w:rPr>
                <w:color w:val="000000"/>
                <w:sz w:val="18"/>
                <w:szCs w:val="18"/>
              </w:rPr>
              <w:t>6,6</w:t>
            </w:r>
          </w:p>
        </w:tc>
      </w:tr>
      <w:tr w:rsidR="00D56922" w:rsidRPr="00677C9C" w:rsidTr="000E2F90">
        <w:trPr>
          <w:trHeight w:val="300"/>
        </w:trPr>
        <w:tc>
          <w:tcPr>
            <w:tcW w:w="4828" w:type="dxa"/>
            <w:tcBorders>
              <w:top w:val="nil"/>
              <w:left w:val="single" w:sz="4" w:space="0" w:color="auto"/>
              <w:bottom w:val="single" w:sz="4" w:space="0" w:color="auto"/>
              <w:right w:val="single" w:sz="4" w:space="0" w:color="auto"/>
            </w:tcBorders>
          </w:tcPr>
          <w:p w:rsidR="00D56922" w:rsidRPr="00D56922" w:rsidRDefault="00D56922" w:rsidP="00D56922">
            <w:pPr>
              <w:rPr>
                <w:color w:val="000000"/>
                <w:sz w:val="18"/>
                <w:szCs w:val="18"/>
              </w:rPr>
            </w:pPr>
            <w:proofErr w:type="spellStart"/>
            <w:r w:rsidRPr="00D56922">
              <w:rPr>
                <w:color w:val="000000"/>
                <w:sz w:val="18"/>
                <w:szCs w:val="18"/>
              </w:rPr>
              <w:t>production</w:t>
            </w:r>
            <w:proofErr w:type="spellEnd"/>
            <w:r w:rsidRPr="00D56922">
              <w:rPr>
                <w:color w:val="000000"/>
                <w:sz w:val="18"/>
                <w:szCs w:val="18"/>
              </w:rPr>
              <w:t xml:space="preserve"> </w:t>
            </w:r>
            <w:proofErr w:type="spellStart"/>
            <w:r w:rsidRPr="00D56922">
              <w:rPr>
                <w:color w:val="000000"/>
                <w:sz w:val="18"/>
                <w:szCs w:val="18"/>
              </w:rPr>
              <w:t>staff</w:t>
            </w:r>
            <w:proofErr w:type="spellEnd"/>
          </w:p>
        </w:tc>
        <w:tc>
          <w:tcPr>
            <w:tcW w:w="1405" w:type="dxa"/>
            <w:tcBorders>
              <w:top w:val="nil"/>
              <w:left w:val="nil"/>
              <w:bottom w:val="single" w:sz="4" w:space="0" w:color="auto"/>
              <w:right w:val="single" w:sz="4" w:space="0" w:color="auto"/>
            </w:tcBorders>
            <w:vAlign w:val="center"/>
          </w:tcPr>
          <w:p w:rsidR="00D56922" w:rsidRPr="00677C9C" w:rsidRDefault="007F138B" w:rsidP="007F138B">
            <w:pPr>
              <w:jc w:val="center"/>
              <w:rPr>
                <w:color w:val="000000"/>
                <w:sz w:val="18"/>
                <w:szCs w:val="18"/>
              </w:rPr>
            </w:pPr>
            <w:r>
              <w:rPr>
                <w:color w:val="000000"/>
                <w:sz w:val="18"/>
                <w:szCs w:val="18"/>
              </w:rPr>
              <w:t>297</w:t>
            </w:r>
          </w:p>
        </w:tc>
        <w:tc>
          <w:tcPr>
            <w:tcW w:w="1327" w:type="dxa"/>
            <w:tcBorders>
              <w:top w:val="nil"/>
              <w:left w:val="nil"/>
              <w:bottom w:val="single" w:sz="4" w:space="0" w:color="auto"/>
              <w:right w:val="single" w:sz="4" w:space="0" w:color="auto"/>
            </w:tcBorders>
            <w:vAlign w:val="center"/>
          </w:tcPr>
          <w:p w:rsidR="00D56922" w:rsidRPr="00677C9C" w:rsidRDefault="00D56922" w:rsidP="00617070">
            <w:pPr>
              <w:jc w:val="center"/>
              <w:rPr>
                <w:color w:val="000000"/>
                <w:sz w:val="18"/>
                <w:szCs w:val="18"/>
              </w:rPr>
            </w:pPr>
            <w:r w:rsidRPr="00677C9C">
              <w:rPr>
                <w:color w:val="000000"/>
                <w:sz w:val="18"/>
                <w:szCs w:val="18"/>
              </w:rPr>
              <w:t>278</w:t>
            </w:r>
          </w:p>
        </w:tc>
        <w:tc>
          <w:tcPr>
            <w:tcW w:w="1173" w:type="dxa"/>
            <w:tcBorders>
              <w:top w:val="single" w:sz="4" w:space="0" w:color="auto"/>
              <w:left w:val="nil"/>
              <w:bottom w:val="single" w:sz="4" w:space="0" w:color="auto"/>
              <w:right w:val="single" w:sz="4" w:space="0" w:color="auto"/>
            </w:tcBorders>
            <w:vAlign w:val="center"/>
          </w:tcPr>
          <w:p w:rsidR="00D56922" w:rsidRPr="00677C9C" w:rsidRDefault="007F138B" w:rsidP="00617070">
            <w:pPr>
              <w:jc w:val="center"/>
              <w:rPr>
                <w:color w:val="000000"/>
                <w:sz w:val="18"/>
                <w:szCs w:val="18"/>
              </w:rPr>
            </w:pPr>
            <w:r>
              <w:rPr>
                <w:color w:val="000000"/>
                <w:sz w:val="18"/>
                <w:szCs w:val="18"/>
              </w:rPr>
              <w:t>19</w:t>
            </w:r>
          </w:p>
        </w:tc>
        <w:tc>
          <w:tcPr>
            <w:tcW w:w="1347" w:type="dxa"/>
            <w:tcBorders>
              <w:top w:val="single" w:sz="4" w:space="0" w:color="auto"/>
              <w:left w:val="single" w:sz="4" w:space="0" w:color="auto"/>
              <w:bottom w:val="single" w:sz="4" w:space="0" w:color="auto"/>
              <w:right w:val="single" w:sz="4" w:space="0" w:color="auto"/>
            </w:tcBorders>
            <w:vAlign w:val="center"/>
          </w:tcPr>
          <w:p w:rsidR="00D56922" w:rsidRPr="00677C9C" w:rsidRDefault="00D56922" w:rsidP="00617070">
            <w:pPr>
              <w:jc w:val="center"/>
              <w:rPr>
                <w:color w:val="000000"/>
                <w:sz w:val="18"/>
                <w:szCs w:val="18"/>
              </w:rPr>
            </w:pPr>
            <w:r>
              <w:rPr>
                <w:color w:val="000000"/>
                <w:sz w:val="18"/>
                <w:szCs w:val="18"/>
              </w:rPr>
              <w:t>42,7</w:t>
            </w:r>
          </w:p>
        </w:tc>
      </w:tr>
    </w:tbl>
    <w:p w:rsidR="00D56922" w:rsidRPr="008A1168" w:rsidRDefault="00D56922" w:rsidP="008A1168">
      <w:pPr>
        <w:tabs>
          <w:tab w:val="left" w:pos="426"/>
          <w:tab w:val="left" w:pos="993"/>
        </w:tabs>
        <w:autoSpaceDE w:val="0"/>
        <w:autoSpaceDN w:val="0"/>
        <w:adjustRightInd w:val="0"/>
        <w:ind w:left="-709" w:firstLine="709"/>
        <w:jc w:val="both"/>
        <w:rPr>
          <w:noProof/>
          <w:color w:val="000000"/>
          <w:sz w:val="22"/>
          <w:szCs w:val="22"/>
          <w:lang w:val="en-US"/>
        </w:rPr>
      </w:pPr>
    </w:p>
    <w:p w:rsidR="005C4856" w:rsidRPr="005C4856" w:rsidRDefault="005C4856" w:rsidP="005C4856">
      <w:pPr>
        <w:tabs>
          <w:tab w:val="left" w:pos="426"/>
          <w:tab w:val="left" w:pos="993"/>
        </w:tabs>
        <w:autoSpaceDE w:val="0"/>
        <w:autoSpaceDN w:val="0"/>
        <w:adjustRightInd w:val="0"/>
        <w:ind w:left="-709" w:firstLine="709"/>
        <w:jc w:val="both"/>
        <w:rPr>
          <w:noProof/>
          <w:color w:val="000000"/>
          <w:sz w:val="22"/>
          <w:szCs w:val="22"/>
          <w:lang w:val="en-US"/>
        </w:rPr>
      </w:pPr>
      <w:r w:rsidRPr="005C4856">
        <w:rPr>
          <w:noProof/>
          <w:color w:val="000000"/>
          <w:sz w:val="22"/>
          <w:szCs w:val="22"/>
          <w:lang w:val="en-US"/>
        </w:rPr>
        <w:t>Growth of the average number of staff</w:t>
      </w:r>
      <w:r>
        <w:rPr>
          <w:noProof/>
          <w:color w:val="000000"/>
          <w:sz w:val="22"/>
          <w:szCs w:val="22"/>
          <w:lang w:val="en-US"/>
        </w:rPr>
        <w:t xml:space="preserve"> is</w:t>
      </w:r>
      <w:r w:rsidRPr="005C4856">
        <w:rPr>
          <w:noProof/>
          <w:color w:val="000000"/>
          <w:sz w:val="22"/>
          <w:szCs w:val="22"/>
          <w:lang w:val="en-US"/>
        </w:rPr>
        <w:t xml:space="preserve"> due to the following factors:</w:t>
      </w:r>
    </w:p>
    <w:p w:rsidR="005C4856" w:rsidRPr="005C4856" w:rsidRDefault="005C4856" w:rsidP="005C4856">
      <w:pPr>
        <w:tabs>
          <w:tab w:val="left" w:pos="426"/>
          <w:tab w:val="left" w:pos="993"/>
        </w:tabs>
        <w:autoSpaceDE w:val="0"/>
        <w:autoSpaceDN w:val="0"/>
        <w:adjustRightInd w:val="0"/>
        <w:ind w:left="-709" w:firstLine="709"/>
        <w:jc w:val="both"/>
        <w:rPr>
          <w:noProof/>
          <w:color w:val="000000"/>
          <w:sz w:val="22"/>
          <w:szCs w:val="22"/>
          <w:lang w:val="en-US"/>
        </w:rPr>
      </w:pPr>
      <w:r w:rsidRPr="005C4856">
        <w:rPr>
          <w:noProof/>
          <w:color w:val="000000"/>
          <w:sz w:val="22"/>
          <w:szCs w:val="22"/>
          <w:lang w:val="en-US"/>
        </w:rPr>
        <w:t xml:space="preserve">• expanding the perimeter of consolidation of financial </w:t>
      </w:r>
      <w:r>
        <w:rPr>
          <w:noProof/>
          <w:color w:val="000000"/>
          <w:sz w:val="22"/>
          <w:szCs w:val="22"/>
          <w:lang w:val="en-US"/>
        </w:rPr>
        <w:t>indicators of KMG</w:t>
      </w:r>
      <w:r w:rsidRPr="005C4856">
        <w:rPr>
          <w:noProof/>
          <w:color w:val="000000"/>
          <w:sz w:val="22"/>
          <w:szCs w:val="22"/>
          <w:lang w:val="en-US"/>
        </w:rPr>
        <w:t xml:space="preserve"> because of </w:t>
      </w:r>
      <w:r>
        <w:rPr>
          <w:noProof/>
          <w:color w:val="000000"/>
          <w:sz w:val="22"/>
          <w:szCs w:val="22"/>
          <w:lang w:val="en-US"/>
        </w:rPr>
        <w:t>inclusion of “</w:t>
      </w:r>
      <w:r w:rsidRPr="005C4856">
        <w:rPr>
          <w:noProof/>
          <w:color w:val="000000"/>
          <w:sz w:val="22"/>
          <w:szCs w:val="22"/>
          <w:lang w:val="en-US"/>
        </w:rPr>
        <w:t>Semser Security</w:t>
      </w:r>
      <w:r>
        <w:rPr>
          <w:noProof/>
          <w:color w:val="000000"/>
          <w:sz w:val="22"/>
          <w:szCs w:val="22"/>
          <w:lang w:val="en-US"/>
        </w:rPr>
        <w:t>” LLP</w:t>
      </w:r>
      <w:r w:rsidR="00864505" w:rsidRPr="00864505">
        <w:rPr>
          <w:noProof/>
          <w:color w:val="000000"/>
          <w:sz w:val="22"/>
          <w:szCs w:val="22"/>
          <w:lang w:val="en-US"/>
        </w:rPr>
        <w:t xml:space="preserve"> </w:t>
      </w:r>
      <w:r w:rsidR="00564E2D">
        <w:rPr>
          <w:noProof/>
          <w:color w:val="000000"/>
          <w:sz w:val="22"/>
          <w:szCs w:val="22"/>
          <w:lang w:val="en-US"/>
        </w:rPr>
        <w:t>(9</w:t>
      </w:r>
      <w:r w:rsidR="00594D07">
        <w:rPr>
          <w:noProof/>
          <w:color w:val="000000"/>
          <w:sz w:val="22"/>
          <w:szCs w:val="22"/>
          <w:lang w:val="en-US"/>
        </w:rPr>
        <w:t>.</w:t>
      </w:r>
      <w:r w:rsidR="00864505">
        <w:rPr>
          <w:noProof/>
          <w:color w:val="000000"/>
          <w:sz w:val="22"/>
          <w:szCs w:val="22"/>
          <w:lang w:val="en-US"/>
        </w:rPr>
        <w:t>7</w:t>
      </w:r>
      <w:r w:rsidR="00864505" w:rsidRPr="00864505">
        <w:rPr>
          <w:b/>
          <w:bCs/>
          <w:color w:val="000000"/>
          <w:sz w:val="18"/>
          <w:szCs w:val="18"/>
          <w:lang w:val="en-US"/>
        </w:rPr>
        <w:t xml:space="preserve"> </w:t>
      </w:r>
      <w:r w:rsidR="00864505" w:rsidRPr="00864505">
        <w:rPr>
          <w:noProof/>
          <w:color w:val="000000"/>
          <w:sz w:val="22"/>
          <w:szCs w:val="22"/>
          <w:lang w:val="en-US"/>
        </w:rPr>
        <w:t>thous.</w:t>
      </w:r>
      <w:r w:rsidR="00864505">
        <w:rPr>
          <w:noProof/>
          <w:color w:val="000000"/>
          <w:sz w:val="22"/>
          <w:szCs w:val="22"/>
          <w:lang w:val="en-US"/>
        </w:rPr>
        <w:t>p</w:t>
      </w:r>
      <w:r w:rsidR="00864505" w:rsidRPr="00864505">
        <w:rPr>
          <w:noProof/>
          <w:color w:val="000000"/>
          <w:sz w:val="22"/>
          <w:szCs w:val="22"/>
          <w:lang w:val="en-US"/>
        </w:rPr>
        <w:t>eople</w:t>
      </w:r>
      <w:r w:rsidR="00864505">
        <w:rPr>
          <w:noProof/>
          <w:color w:val="000000"/>
          <w:sz w:val="22"/>
          <w:szCs w:val="22"/>
          <w:lang w:val="en-US"/>
        </w:rPr>
        <w:t>)</w:t>
      </w:r>
      <w:r w:rsidRPr="005C4856">
        <w:rPr>
          <w:noProof/>
          <w:color w:val="000000"/>
          <w:sz w:val="22"/>
          <w:szCs w:val="22"/>
          <w:lang w:val="en-US"/>
        </w:rPr>
        <w:t>, which has n</w:t>
      </w:r>
      <w:r>
        <w:rPr>
          <w:noProof/>
          <w:color w:val="000000"/>
          <w:sz w:val="22"/>
          <w:szCs w:val="22"/>
          <w:lang w:val="en-US"/>
        </w:rPr>
        <w:t>ot previously been consolidated;</w:t>
      </w:r>
      <w:r w:rsidRPr="005C4856">
        <w:rPr>
          <w:noProof/>
          <w:color w:val="000000"/>
          <w:sz w:val="22"/>
          <w:szCs w:val="22"/>
          <w:lang w:val="en-US"/>
        </w:rPr>
        <w:t xml:space="preserve"> the purchase of </w:t>
      </w:r>
      <w:r>
        <w:rPr>
          <w:noProof/>
          <w:color w:val="000000"/>
          <w:sz w:val="22"/>
          <w:szCs w:val="22"/>
          <w:lang w:val="en-US"/>
        </w:rPr>
        <w:t>“</w:t>
      </w:r>
      <w:r w:rsidRPr="005C4856">
        <w:rPr>
          <w:noProof/>
          <w:color w:val="000000"/>
          <w:sz w:val="22"/>
          <w:szCs w:val="22"/>
          <w:lang w:val="en-US"/>
        </w:rPr>
        <w:t>AktauNefteServis</w:t>
      </w:r>
      <w:r>
        <w:rPr>
          <w:noProof/>
          <w:color w:val="000000"/>
          <w:sz w:val="22"/>
          <w:szCs w:val="22"/>
          <w:lang w:val="en-US"/>
        </w:rPr>
        <w:t>”</w:t>
      </w:r>
      <w:r w:rsidRPr="005C4856">
        <w:rPr>
          <w:noProof/>
          <w:color w:val="000000"/>
          <w:sz w:val="22"/>
          <w:szCs w:val="22"/>
          <w:lang w:val="en-US"/>
        </w:rPr>
        <w:t xml:space="preserve"> LLP at the end of 2011</w:t>
      </w:r>
      <w:r w:rsidR="00864505">
        <w:rPr>
          <w:noProof/>
          <w:color w:val="000000"/>
          <w:sz w:val="22"/>
          <w:szCs w:val="22"/>
          <w:lang w:val="en-US"/>
        </w:rPr>
        <w:t xml:space="preserve"> (8</w:t>
      </w:r>
      <w:r w:rsidR="00594D07">
        <w:rPr>
          <w:noProof/>
          <w:color w:val="000000"/>
          <w:sz w:val="22"/>
          <w:szCs w:val="22"/>
          <w:lang w:val="en-US"/>
        </w:rPr>
        <w:t>.</w:t>
      </w:r>
      <w:r w:rsidR="00864505">
        <w:rPr>
          <w:noProof/>
          <w:color w:val="000000"/>
          <w:sz w:val="22"/>
          <w:szCs w:val="22"/>
          <w:lang w:val="en-US"/>
        </w:rPr>
        <w:t>9</w:t>
      </w:r>
      <w:r w:rsidR="00864505" w:rsidRPr="00864505">
        <w:rPr>
          <w:b/>
          <w:bCs/>
          <w:color w:val="000000"/>
          <w:sz w:val="18"/>
          <w:szCs w:val="18"/>
          <w:lang w:val="en-US"/>
        </w:rPr>
        <w:t xml:space="preserve"> </w:t>
      </w:r>
      <w:r w:rsidR="00864505" w:rsidRPr="00864505">
        <w:rPr>
          <w:noProof/>
          <w:color w:val="000000"/>
          <w:sz w:val="22"/>
          <w:szCs w:val="22"/>
          <w:lang w:val="en-US"/>
        </w:rPr>
        <w:t>thous.</w:t>
      </w:r>
      <w:r w:rsidR="00864505">
        <w:rPr>
          <w:noProof/>
          <w:color w:val="000000"/>
          <w:sz w:val="22"/>
          <w:szCs w:val="22"/>
          <w:lang w:val="en-US"/>
        </w:rPr>
        <w:t>p</w:t>
      </w:r>
      <w:r w:rsidR="00864505" w:rsidRPr="00864505">
        <w:rPr>
          <w:noProof/>
          <w:color w:val="000000"/>
          <w:sz w:val="22"/>
          <w:szCs w:val="22"/>
          <w:lang w:val="en-US"/>
        </w:rPr>
        <w:t>eople</w:t>
      </w:r>
      <w:r w:rsidR="00864505">
        <w:rPr>
          <w:noProof/>
          <w:color w:val="000000"/>
          <w:sz w:val="22"/>
          <w:szCs w:val="22"/>
          <w:lang w:val="en-US"/>
        </w:rPr>
        <w:t>)</w:t>
      </w:r>
      <w:r w:rsidRPr="005C4856">
        <w:rPr>
          <w:noProof/>
          <w:color w:val="000000"/>
          <w:sz w:val="22"/>
          <w:szCs w:val="22"/>
          <w:lang w:val="en-US"/>
        </w:rPr>
        <w:t>, the establishment of two private limited company in</w:t>
      </w:r>
      <w:r>
        <w:rPr>
          <w:noProof/>
          <w:color w:val="000000"/>
          <w:sz w:val="22"/>
          <w:szCs w:val="22"/>
          <w:lang w:val="en-US"/>
        </w:rPr>
        <w:t xml:space="preserve"> EP</w:t>
      </w:r>
      <w:r w:rsidRPr="005C4856">
        <w:rPr>
          <w:noProof/>
          <w:color w:val="000000"/>
          <w:sz w:val="22"/>
          <w:szCs w:val="22"/>
          <w:lang w:val="en-US"/>
        </w:rPr>
        <w:t xml:space="preserve"> KMG (</w:t>
      </w:r>
      <w:r w:rsidR="00864505">
        <w:rPr>
          <w:noProof/>
          <w:color w:val="000000"/>
          <w:sz w:val="22"/>
          <w:szCs w:val="22"/>
          <w:lang w:val="en-US"/>
        </w:rPr>
        <w:t>1</w:t>
      </w:r>
      <w:r w:rsidR="00594D07">
        <w:rPr>
          <w:noProof/>
          <w:color w:val="000000"/>
          <w:sz w:val="22"/>
          <w:szCs w:val="22"/>
          <w:lang w:val="en-US"/>
        </w:rPr>
        <w:t>.</w:t>
      </w:r>
      <w:r w:rsidR="00864505">
        <w:rPr>
          <w:noProof/>
          <w:color w:val="000000"/>
          <w:sz w:val="22"/>
          <w:szCs w:val="22"/>
          <w:lang w:val="en-US"/>
        </w:rPr>
        <w:t>6</w:t>
      </w:r>
      <w:r w:rsidRPr="005C4856">
        <w:rPr>
          <w:noProof/>
          <w:color w:val="000000"/>
          <w:sz w:val="22"/>
          <w:szCs w:val="22"/>
          <w:lang w:val="en-US"/>
        </w:rPr>
        <w:t xml:space="preserve"> thousand </w:t>
      </w:r>
      <w:r w:rsidR="00864505">
        <w:rPr>
          <w:noProof/>
          <w:color w:val="000000"/>
          <w:sz w:val="22"/>
          <w:szCs w:val="22"/>
          <w:lang w:val="en-US"/>
        </w:rPr>
        <w:t>people</w:t>
      </w:r>
      <w:r w:rsidRPr="005C4856">
        <w:rPr>
          <w:noProof/>
          <w:color w:val="000000"/>
          <w:sz w:val="22"/>
          <w:szCs w:val="22"/>
          <w:lang w:val="en-US"/>
        </w:rPr>
        <w:t>);</w:t>
      </w:r>
    </w:p>
    <w:p w:rsidR="005C4856" w:rsidRPr="005C4856" w:rsidRDefault="005C4856" w:rsidP="005C4856">
      <w:pPr>
        <w:tabs>
          <w:tab w:val="left" w:pos="426"/>
          <w:tab w:val="left" w:pos="993"/>
        </w:tabs>
        <w:autoSpaceDE w:val="0"/>
        <w:autoSpaceDN w:val="0"/>
        <w:adjustRightInd w:val="0"/>
        <w:ind w:left="-709" w:firstLine="709"/>
        <w:jc w:val="both"/>
        <w:rPr>
          <w:noProof/>
          <w:color w:val="000000"/>
          <w:sz w:val="22"/>
          <w:szCs w:val="22"/>
          <w:lang w:val="en-US"/>
        </w:rPr>
      </w:pPr>
      <w:r w:rsidRPr="005C4856">
        <w:rPr>
          <w:noProof/>
          <w:color w:val="000000"/>
          <w:sz w:val="22"/>
          <w:szCs w:val="22"/>
          <w:lang w:val="en-US"/>
        </w:rPr>
        <w:t xml:space="preserve">• commissioning of </w:t>
      </w:r>
      <w:r>
        <w:rPr>
          <w:noProof/>
          <w:color w:val="000000"/>
          <w:sz w:val="22"/>
          <w:szCs w:val="22"/>
          <w:lang w:val="en-US"/>
        </w:rPr>
        <w:t xml:space="preserve">facilities at the </w:t>
      </w:r>
      <w:r w:rsidRPr="005C4856">
        <w:rPr>
          <w:noProof/>
          <w:color w:val="000000"/>
          <w:sz w:val="22"/>
          <w:szCs w:val="22"/>
          <w:lang w:val="en-US"/>
        </w:rPr>
        <w:t>new railway lines Korgas-Zhetygen and Uzen - the state border with Turkmenistan</w:t>
      </w:r>
      <w:r w:rsidR="00564E2D">
        <w:rPr>
          <w:noProof/>
          <w:color w:val="000000"/>
          <w:sz w:val="22"/>
          <w:szCs w:val="22"/>
          <w:lang w:val="en-US"/>
        </w:rPr>
        <w:t xml:space="preserve"> (1</w:t>
      </w:r>
      <w:r w:rsidR="00594D07">
        <w:rPr>
          <w:noProof/>
          <w:color w:val="000000"/>
          <w:sz w:val="22"/>
          <w:szCs w:val="22"/>
          <w:lang w:val="en-US"/>
        </w:rPr>
        <w:t>.</w:t>
      </w:r>
      <w:r w:rsidR="00564E2D">
        <w:rPr>
          <w:noProof/>
          <w:color w:val="000000"/>
          <w:sz w:val="22"/>
          <w:szCs w:val="22"/>
          <w:lang w:val="en-US"/>
        </w:rPr>
        <w:t>7</w:t>
      </w:r>
      <w:r w:rsidR="00564E2D" w:rsidRPr="00864505">
        <w:rPr>
          <w:b/>
          <w:bCs/>
          <w:color w:val="000000"/>
          <w:sz w:val="18"/>
          <w:szCs w:val="18"/>
          <w:lang w:val="en-US"/>
        </w:rPr>
        <w:t xml:space="preserve"> </w:t>
      </w:r>
      <w:r w:rsidR="00564E2D" w:rsidRPr="00864505">
        <w:rPr>
          <w:noProof/>
          <w:color w:val="000000"/>
          <w:sz w:val="22"/>
          <w:szCs w:val="22"/>
          <w:lang w:val="en-US"/>
        </w:rPr>
        <w:t>thous.</w:t>
      </w:r>
      <w:r w:rsidR="00564E2D">
        <w:rPr>
          <w:noProof/>
          <w:color w:val="000000"/>
          <w:sz w:val="22"/>
          <w:szCs w:val="22"/>
          <w:lang w:val="en-US"/>
        </w:rPr>
        <w:t>p</w:t>
      </w:r>
      <w:r w:rsidR="00564E2D" w:rsidRPr="00864505">
        <w:rPr>
          <w:noProof/>
          <w:color w:val="000000"/>
          <w:sz w:val="22"/>
          <w:szCs w:val="22"/>
          <w:lang w:val="en-US"/>
        </w:rPr>
        <w:t>eople</w:t>
      </w:r>
      <w:r w:rsidR="00564E2D">
        <w:rPr>
          <w:noProof/>
          <w:color w:val="000000"/>
          <w:sz w:val="22"/>
          <w:szCs w:val="22"/>
          <w:lang w:val="en-US"/>
        </w:rPr>
        <w:t>)</w:t>
      </w:r>
      <w:r w:rsidRPr="005C4856">
        <w:rPr>
          <w:noProof/>
          <w:color w:val="000000"/>
          <w:sz w:val="22"/>
          <w:szCs w:val="22"/>
          <w:lang w:val="en-US"/>
        </w:rPr>
        <w:t xml:space="preserve">, the adoption of railway sections of JSC </w:t>
      </w:r>
      <w:r>
        <w:rPr>
          <w:noProof/>
          <w:color w:val="000000"/>
          <w:sz w:val="22"/>
          <w:szCs w:val="22"/>
          <w:lang w:val="en-US"/>
        </w:rPr>
        <w:t>“Russian Railways”</w:t>
      </w:r>
      <w:r w:rsidR="00564E2D" w:rsidRPr="00564E2D">
        <w:rPr>
          <w:noProof/>
          <w:color w:val="000000"/>
          <w:sz w:val="22"/>
          <w:szCs w:val="22"/>
          <w:lang w:val="en-US"/>
        </w:rPr>
        <w:t xml:space="preserve"> </w:t>
      </w:r>
      <w:r w:rsidR="00564E2D">
        <w:rPr>
          <w:noProof/>
          <w:color w:val="000000"/>
          <w:sz w:val="22"/>
          <w:szCs w:val="22"/>
          <w:lang w:val="en-US"/>
        </w:rPr>
        <w:t>(390 p</w:t>
      </w:r>
      <w:r w:rsidR="00564E2D" w:rsidRPr="00864505">
        <w:rPr>
          <w:noProof/>
          <w:color w:val="000000"/>
          <w:sz w:val="22"/>
          <w:szCs w:val="22"/>
          <w:lang w:val="en-US"/>
        </w:rPr>
        <w:t>eople</w:t>
      </w:r>
      <w:r w:rsidR="00564E2D">
        <w:rPr>
          <w:noProof/>
          <w:color w:val="000000"/>
          <w:sz w:val="22"/>
          <w:szCs w:val="22"/>
          <w:lang w:val="en-US"/>
        </w:rPr>
        <w:t>)</w:t>
      </w:r>
      <w:r w:rsidRPr="005C4856">
        <w:rPr>
          <w:noProof/>
          <w:color w:val="000000"/>
          <w:sz w:val="22"/>
          <w:szCs w:val="22"/>
          <w:lang w:val="en-US"/>
        </w:rPr>
        <w:t xml:space="preserve">, increasing the amount of work (the opening of new railway stations Botakara, Atygay, </w:t>
      </w:r>
      <w:r>
        <w:rPr>
          <w:noProof/>
          <w:color w:val="000000"/>
          <w:sz w:val="22"/>
          <w:szCs w:val="22"/>
          <w:lang w:val="en-US"/>
        </w:rPr>
        <w:t>CDC at</w:t>
      </w:r>
      <w:r w:rsidRPr="005C4856">
        <w:rPr>
          <w:noProof/>
          <w:color w:val="000000"/>
          <w:sz w:val="22"/>
          <w:szCs w:val="22"/>
          <w:lang w:val="en-US"/>
        </w:rPr>
        <w:t xml:space="preserve"> Dostyk </w:t>
      </w:r>
      <w:r>
        <w:rPr>
          <w:noProof/>
          <w:color w:val="000000"/>
          <w:sz w:val="22"/>
          <w:szCs w:val="22"/>
          <w:lang w:val="en-US"/>
        </w:rPr>
        <w:t xml:space="preserve">station </w:t>
      </w:r>
      <w:r w:rsidRPr="005C4856">
        <w:rPr>
          <w:noProof/>
          <w:color w:val="000000"/>
          <w:sz w:val="22"/>
          <w:szCs w:val="22"/>
          <w:lang w:val="en-US"/>
        </w:rPr>
        <w:t>(car shed)</w:t>
      </w:r>
      <w:r w:rsidR="00564E2D" w:rsidRPr="00564E2D">
        <w:rPr>
          <w:noProof/>
          <w:color w:val="000000"/>
          <w:sz w:val="22"/>
          <w:szCs w:val="22"/>
          <w:lang w:val="en-US"/>
        </w:rPr>
        <w:t xml:space="preserve"> </w:t>
      </w:r>
      <w:r w:rsidR="00564E2D">
        <w:rPr>
          <w:noProof/>
          <w:color w:val="000000"/>
          <w:sz w:val="22"/>
          <w:szCs w:val="22"/>
          <w:lang w:val="en-US"/>
        </w:rPr>
        <w:t>(348 p</w:t>
      </w:r>
      <w:r w:rsidR="00564E2D" w:rsidRPr="00864505">
        <w:rPr>
          <w:noProof/>
          <w:color w:val="000000"/>
          <w:sz w:val="22"/>
          <w:szCs w:val="22"/>
          <w:lang w:val="en-US"/>
        </w:rPr>
        <w:t>eople</w:t>
      </w:r>
      <w:r w:rsidR="00564E2D">
        <w:rPr>
          <w:noProof/>
          <w:color w:val="000000"/>
          <w:sz w:val="22"/>
          <w:szCs w:val="22"/>
          <w:lang w:val="en-US"/>
        </w:rPr>
        <w:t>)</w:t>
      </w:r>
      <w:r w:rsidRPr="005C4856">
        <w:rPr>
          <w:noProof/>
          <w:color w:val="000000"/>
          <w:sz w:val="22"/>
          <w:szCs w:val="22"/>
          <w:lang w:val="en-US"/>
        </w:rPr>
        <w:t xml:space="preserve">, </w:t>
      </w:r>
      <w:r>
        <w:rPr>
          <w:noProof/>
          <w:color w:val="000000"/>
          <w:sz w:val="22"/>
          <w:szCs w:val="22"/>
          <w:lang w:val="en-US"/>
        </w:rPr>
        <w:t>suburban</w:t>
      </w:r>
      <w:r w:rsidRPr="005C4856">
        <w:rPr>
          <w:noProof/>
          <w:color w:val="000000"/>
          <w:sz w:val="22"/>
          <w:szCs w:val="22"/>
          <w:lang w:val="en-US"/>
        </w:rPr>
        <w:t xml:space="preserve"> routes, </w:t>
      </w:r>
      <w:r>
        <w:rPr>
          <w:noProof/>
          <w:color w:val="000000"/>
          <w:sz w:val="22"/>
          <w:szCs w:val="22"/>
          <w:lang w:val="en-US"/>
        </w:rPr>
        <w:t>implementation of</w:t>
      </w:r>
      <w:r w:rsidRPr="005C4856">
        <w:rPr>
          <w:noProof/>
          <w:color w:val="000000"/>
          <w:sz w:val="22"/>
          <w:szCs w:val="22"/>
          <w:lang w:val="en-US"/>
        </w:rPr>
        <w:t xml:space="preserve"> order of the Ministry of Transport and Communication </w:t>
      </w:r>
      <w:r>
        <w:rPr>
          <w:noProof/>
          <w:color w:val="000000"/>
          <w:sz w:val="22"/>
          <w:szCs w:val="22"/>
          <w:lang w:val="en-US"/>
        </w:rPr>
        <w:t>#</w:t>
      </w:r>
      <w:r w:rsidRPr="005C4856">
        <w:rPr>
          <w:noProof/>
          <w:color w:val="000000"/>
          <w:sz w:val="22"/>
          <w:szCs w:val="22"/>
          <w:lang w:val="en-US"/>
        </w:rPr>
        <w:t xml:space="preserve"> 74 </w:t>
      </w:r>
      <w:r>
        <w:rPr>
          <w:noProof/>
          <w:color w:val="000000"/>
          <w:sz w:val="22"/>
          <w:szCs w:val="22"/>
          <w:lang w:val="en-US"/>
        </w:rPr>
        <w:t>dated</w:t>
      </w:r>
      <w:r w:rsidR="002B08CD">
        <w:rPr>
          <w:noProof/>
          <w:color w:val="000000"/>
          <w:sz w:val="22"/>
          <w:szCs w:val="22"/>
          <w:lang w:val="en-US"/>
        </w:rPr>
        <w:t xml:space="preserve"> 17 February 2011,</w:t>
      </w:r>
      <w:r w:rsidRPr="005C4856">
        <w:rPr>
          <w:noProof/>
          <w:color w:val="000000"/>
          <w:sz w:val="22"/>
          <w:szCs w:val="22"/>
          <w:lang w:val="en-US"/>
        </w:rPr>
        <w:t xml:space="preserve"> </w:t>
      </w:r>
      <w:r w:rsidR="002B08CD">
        <w:rPr>
          <w:noProof/>
          <w:color w:val="000000"/>
          <w:sz w:val="22"/>
          <w:szCs w:val="22"/>
          <w:lang w:val="en-US"/>
        </w:rPr>
        <w:t>providing</w:t>
      </w:r>
      <w:r w:rsidRPr="005C4856">
        <w:rPr>
          <w:noProof/>
          <w:color w:val="000000"/>
          <w:sz w:val="22"/>
          <w:szCs w:val="22"/>
          <w:lang w:val="en-US"/>
        </w:rPr>
        <w:t xml:space="preserve"> changes in time tracking </w:t>
      </w:r>
      <w:r w:rsidR="002B08CD">
        <w:rPr>
          <w:noProof/>
          <w:color w:val="000000"/>
          <w:sz w:val="22"/>
          <w:szCs w:val="22"/>
          <w:lang w:val="en-US"/>
        </w:rPr>
        <w:t>of shift</w:t>
      </w:r>
      <w:r w:rsidRPr="005C4856">
        <w:rPr>
          <w:noProof/>
          <w:color w:val="000000"/>
          <w:sz w:val="22"/>
          <w:szCs w:val="22"/>
          <w:lang w:val="en-US"/>
        </w:rPr>
        <w:t xml:space="preserve"> workers</w:t>
      </w:r>
      <w:r w:rsidR="00E91148">
        <w:rPr>
          <w:noProof/>
          <w:color w:val="000000"/>
          <w:sz w:val="22"/>
          <w:szCs w:val="22"/>
          <w:lang w:val="en-US"/>
        </w:rPr>
        <w:t xml:space="preserve"> (192 p</w:t>
      </w:r>
      <w:r w:rsidR="00E91148" w:rsidRPr="00864505">
        <w:rPr>
          <w:noProof/>
          <w:color w:val="000000"/>
          <w:sz w:val="22"/>
          <w:szCs w:val="22"/>
          <w:lang w:val="en-US"/>
        </w:rPr>
        <w:t>eople</w:t>
      </w:r>
      <w:r w:rsidR="00E91148">
        <w:rPr>
          <w:noProof/>
          <w:color w:val="000000"/>
          <w:sz w:val="22"/>
          <w:szCs w:val="22"/>
          <w:lang w:val="en-US"/>
        </w:rPr>
        <w:t>)</w:t>
      </w:r>
      <w:r w:rsidRPr="005C4856">
        <w:rPr>
          <w:noProof/>
          <w:color w:val="000000"/>
          <w:sz w:val="22"/>
          <w:szCs w:val="22"/>
          <w:lang w:val="en-US"/>
        </w:rPr>
        <w:t>;</w:t>
      </w:r>
    </w:p>
    <w:p w:rsidR="005C4856" w:rsidRPr="005C4856" w:rsidRDefault="005C4856" w:rsidP="008A1146">
      <w:pPr>
        <w:tabs>
          <w:tab w:val="left" w:pos="426"/>
          <w:tab w:val="left" w:pos="993"/>
        </w:tabs>
        <w:autoSpaceDE w:val="0"/>
        <w:autoSpaceDN w:val="0"/>
        <w:adjustRightInd w:val="0"/>
        <w:ind w:left="-709" w:firstLine="709"/>
        <w:jc w:val="both"/>
        <w:rPr>
          <w:noProof/>
          <w:color w:val="000000"/>
          <w:sz w:val="22"/>
          <w:szCs w:val="22"/>
          <w:lang w:val="en-US"/>
        </w:rPr>
      </w:pPr>
      <w:r w:rsidRPr="005C4856">
        <w:rPr>
          <w:noProof/>
          <w:color w:val="000000"/>
          <w:sz w:val="22"/>
          <w:szCs w:val="22"/>
          <w:lang w:val="en-US"/>
        </w:rPr>
        <w:t>• increase in the production of tantalum products</w:t>
      </w:r>
      <w:r w:rsidR="008A1146">
        <w:rPr>
          <w:noProof/>
          <w:color w:val="000000"/>
          <w:sz w:val="22"/>
          <w:szCs w:val="22"/>
          <w:lang w:val="en-US"/>
        </w:rPr>
        <w:t>, inclusion of</w:t>
      </w:r>
      <w:r w:rsidRPr="005C4856">
        <w:rPr>
          <w:noProof/>
          <w:color w:val="000000"/>
          <w:sz w:val="22"/>
          <w:szCs w:val="22"/>
          <w:lang w:val="en-US"/>
        </w:rPr>
        <w:t xml:space="preserve"> </w:t>
      </w:r>
      <w:r w:rsidR="008A1146">
        <w:rPr>
          <w:noProof/>
          <w:color w:val="000000"/>
          <w:sz w:val="22"/>
          <w:szCs w:val="22"/>
          <w:lang w:val="en-US"/>
        </w:rPr>
        <w:t>“</w:t>
      </w:r>
      <w:r w:rsidR="008A1146" w:rsidRPr="005C4856">
        <w:rPr>
          <w:noProof/>
          <w:color w:val="000000"/>
          <w:sz w:val="22"/>
          <w:szCs w:val="22"/>
          <w:lang w:val="en-US"/>
        </w:rPr>
        <w:t>Ulbinochka</w:t>
      </w:r>
      <w:r w:rsidR="008A1146">
        <w:rPr>
          <w:noProof/>
          <w:color w:val="000000"/>
          <w:sz w:val="22"/>
          <w:szCs w:val="22"/>
          <w:lang w:val="en-US"/>
        </w:rPr>
        <w:t>”</w:t>
      </w:r>
      <w:r w:rsidR="008A1146" w:rsidRPr="008A1146">
        <w:rPr>
          <w:noProof/>
          <w:color w:val="000000"/>
          <w:sz w:val="22"/>
          <w:szCs w:val="22"/>
          <w:lang w:val="en-US"/>
        </w:rPr>
        <w:t xml:space="preserve"> </w:t>
      </w:r>
      <w:r w:rsidR="008A1146">
        <w:rPr>
          <w:noProof/>
          <w:color w:val="000000"/>
          <w:sz w:val="22"/>
          <w:szCs w:val="22"/>
          <w:lang w:val="en-US"/>
        </w:rPr>
        <w:t>LLP</w:t>
      </w:r>
      <w:r w:rsidR="008A1146" w:rsidRPr="005C4856">
        <w:rPr>
          <w:noProof/>
          <w:color w:val="000000"/>
          <w:sz w:val="22"/>
          <w:szCs w:val="22"/>
          <w:lang w:val="en-US"/>
        </w:rPr>
        <w:t xml:space="preserve"> </w:t>
      </w:r>
      <w:r w:rsidRPr="005C4856">
        <w:rPr>
          <w:noProof/>
          <w:color w:val="000000"/>
          <w:sz w:val="22"/>
          <w:szCs w:val="22"/>
          <w:lang w:val="en-US"/>
        </w:rPr>
        <w:t xml:space="preserve">in </w:t>
      </w:r>
      <w:r w:rsidR="008A1146">
        <w:rPr>
          <w:noProof/>
          <w:color w:val="000000"/>
          <w:sz w:val="22"/>
          <w:szCs w:val="22"/>
          <w:lang w:val="en-US"/>
        </w:rPr>
        <w:t xml:space="preserve">the </w:t>
      </w:r>
      <w:r w:rsidRPr="005C4856">
        <w:rPr>
          <w:noProof/>
          <w:color w:val="000000"/>
          <w:sz w:val="22"/>
          <w:szCs w:val="22"/>
          <w:lang w:val="en-US"/>
        </w:rPr>
        <w:t>Group</w:t>
      </w:r>
      <w:r w:rsidR="008A1146">
        <w:rPr>
          <w:noProof/>
          <w:color w:val="000000"/>
          <w:sz w:val="22"/>
          <w:szCs w:val="22"/>
          <w:lang w:val="en-US"/>
        </w:rPr>
        <w:t xml:space="preserve"> of JSC “</w:t>
      </w:r>
      <w:r w:rsidRPr="005C4856">
        <w:rPr>
          <w:noProof/>
          <w:color w:val="000000"/>
          <w:sz w:val="22"/>
          <w:szCs w:val="22"/>
          <w:lang w:val="en-US"/>
        </w:rPr>
        <w:t>UMP</w:t>
      </w:r>
      <w:r w:rsidR="008A1146">
        <w:rPr>
          <w:noProof/>
          <w:color w:val="000000"/>
          <w:sz w:val="22"/>
          <w:szCs w:val="22"/>
          <w:lang w:val="en-US"/>
        </w:rPr>
        <w:t>”</w:t>
      </w:r>
      <w:r w:rsidRPr="005C4856">
        <w:rPr>
          <w:noProof/>
          <w:color w:val="000000"/>
          <w:sz w:val="22"/>
          <w:szCs w:val="22"/>
          <w:lang w:val="en-US"/>
        </w:rPr>
        <w:t xml:space="preserve"> (229 pers.)</w:t>
      </w:r>
      <w:r w:rsidR="008A1146">
        <w:rPr>
          <w:noProof/>
          <w:color w:val="000000"/>
          <w:sz w:val="22"/>
          <w:szCs w:val="22"/>
          <w:lang w:val="en-US"/>
        </w:rPr>
        <w:t>,</w:t>
      </w:r>
      <w:r w:rsidRPr="005C4856">
        <w:rPr>
          <w:noProof/>
          <w:color w:val="000000"/>
          <w:sz w:val="22"/>
          <w:szCs w:val="22"/>
          <w:lang w:val="en-US"/>
        </w:rPr>
        <w:t xml:space="preserve"> drilling </w:t>
      </w:r>
      <w:r w:rsidR="008A1146">
        <w:rPr>
          <w:noProof/>
          <w:color w:val="000000"/>
          <w:sz w:val="22"/>
          <w:szCs w:val="22"/>
          <w:lang w:val="en-US"/>
        </w:rPr>
        <w:t xml:space="preserve">volumes </w:t>
      </w:r>
      <w:r w:rsidRPr="005C4856">
        <w:rPr>
          <w:noProof/>
          <w:color w:val="000000"/>
          <w:sz w:val="22"/>
          <w:szCs w:val="22"/>
          <w:lang w:val="en-US"/>
        </w:rPr>
        <w:t>(</w:t>
      </w:r>
      <w:r w:rsidR="008A1146">
        <w:rPr>
          <w:noProof/>
          <w:color w:val="000000"/>
          <w:sz w:val="22"/>
          <w:szCs w:val="22"/>
          <w:lang w:val="en-US"/>
        </w:rPr>
        <w:t>“Volkovgeologiya” JSC</w:t>
      </w:r>
      <w:r w:rsidRPr="005C4856">
        <w:rPr>
          <w:noProof/>
          <w:color w:val="000000"/>
          <w:sz w:val="22"/>
          <w:szCs w:val="22"/>
          <w:lang w:val="en-US"/>
        </w:rPr>
        <w:t xml:space="preserve">) - 191 persons, the </w:t>
      </w:r>
      <w:r w:rsidR="008A1146" w:rsidRPr="005C4856">
        <w:rPr>
          <w:noProof/>
          <w:color w:val="000000"/>
          <w:sz w:val="22"/>
          <w:szCs w:val="22"/>
          <w:lang w:val="en-US"/>
        </w:rPr>
        <w:t xml:space="preserve">project output </w:t>
      </w:r>
      <w:r w:rsidR="008A1146">
        <w:rPr>
          <w:noProof/>
          <w:color w:val="000000"/>
          <w:sz w:val="22"/>
          <w:szCs w:val="22"/>
          <w:lang w:val="en-US"/>
        </w:rPr>
        <w:t>of “</w:t>
      </w:r>
      <w:r w:rsidRPr="005C4856">
        <w:rPr>
          <w:noProof/>
          <w:color w:val="000000"/>
          <w:sz w:val="22"/>
          <w:szCs w:val="22"/>
          <w:lang w:val="en-US"/>
        </w:rPr>
        <w:t>Semizbay U</w:t>
      </w:r>
      <w:r w:rsidR="008A1146">
        <w:rPr>
          <w:noProof/>
          <w:color w:val="000000"/>
          <w:sz w:val="22"/>
          <w:szCs w:val="22"/>
          <w:lang w:val="en-US"/>
        </w:rPr>
        <w:t xml:space="preserve">” LLP </w:t>
      </w:r>
      <w:r w:rsidRPr="005C4856">
        <w:rPr>
          <w:noProof/>
          <w:color w:val="000000"/>
          <w:sz w:val="22"/>
          <w:szCs w:val="22"/>
          <w:lang w:val="en-US"/>
        </w:rPr>
        <w:t>(177 pers.)</w:t>
      </w:r>
      <w:r w:rsidR="008A1146">
        <w:rPr>
          <w:noProof/>
          <w:color w:val="000000"/>
          <w:sz w:val="22"/>
          <w:szCs w:val="22"/>
          <w:lang w:val="en-US"/>
        </w:rPr>
        <w:t>, due to</w:t>
      </w:r>
      <w:r w:rsidRPr="005C4856">
        <w:rPr>
          <w:noProof/>
          <w:color w:val="000000"/>
          <w:sz w:val="22"/>
          <w:szCs w:val="22"/>
          <w:lang w:val="en-US"/>
        </w:rPr>
        <w:t xml:space="preserve"> the establishment of new institutions on alternative energy (809 pers.)</w:t>
      </w:r>
    </w:p>
    <w:p w:rsidR="005C4856" w:rsidRPr="005C4856" w:rsidRDefault="005C4856" w:rsidP="005C4856">
      <w:pPr>
        <w:tabs>
          <w:tab w:val="left" w:pos="426"/>
          <w:tab w:val="left" w:pos="993"/>
        </w:tabs>
        <w:autoSpaceDE w:val="0"/>
        <w:autoSpaceDN w:val="0"/>
        <w:adjustRightInd w:val="0"/>
        <w:ind w:left="-709" w:firstLine="709"/>
        <w:jc w:val="both"/>
        <w:rPr>
          <w:noProof/>
          <w:color w:val="000000"/>
          <w:sz w:val="22"/>
          <w:szCs w:val="22"/>
          <w:lang w:val="en-US"/>
        </w:rPr>
      </w:pPr>
      <w:r w:rsidRPr="005C4856">
        <w:rPr>
          <w:noProof/>
          <w:color w:val="000000"/>
          <w:sz w:val="22"/>
          <w:szCs w:val="22"/>
          <w:lang w:val="en-US"/>
        </w:rPr>
        <w:t xml:space="preserve">• the establishment and operation </w:t>
      </w:r>
      <w:r w:rsidR="008A1146">
        <w:rPr>
          <w:noProof/>
          <w:color w:val="000000"/>
          <w:sz w:val="22"/>
          <w:szCs w:val="22"/>
          <w:lang w:val="en-US"/>
        </w:rPr>
        <w:t>of Kazgeologiya</w:t>
      </w:r>
      <w:r w:rsidRPr="005C4856">
        <w:rPr>
          <w:noProof/>
          <w:color w:val="000000"/>
          <w:sz w:val="22"/>
          <w:szCs w:val="22"/>
          <w:lang w:val="en-US"/>
        </w:rPr>
        <w:t xml:space="preserve"> </w:t>
      </w:r>
      <w:r w:rsidR="008A1146">
        <w:rPr>
          <w:noProof/>
          <w:color w:val="000000"/>
          <w:sz w:val="22"/>
          <w:szCs w:val="22"/>
          <w:lang w:val="en-US"/>
        </w:rPr>
        <w:t>since</w:t>
      </w:r>
      <w:r w:rsidRPr="005C4856">
        <w:rPr>
          <w:noProof/>
          <w:color w:val="000000"/>
          <w:sz w:val="22"/>
          <w:szCs w:val="22"/>
          <w:lang w:val="en-US"/>
        </w:rPr>
        <w:t xml:space="preserve"> November 2011</w:t>
      </w:r>
      <w:r w:rsidR="00E91148">
        <w:rPr>
          <w:noProof/>
          <w:color w:val="000000"/>
          <w:sz w:val="22"/>
          <w:szCs w:val="22"/>
          <w:lang w:val="en-US"/>
        </w:rPr>
        <w:t xml:space="preserve"> (51 p</w:t>
      </w:r>
      <w:r w:rsidR="00E91148" w:rsidRPr="00864505">
        <w:rPr>
          <w:noProof/>
          <w:color w:val="000000"/>
          <w:sz w:val="22"/>
          <w:szCs w:val="22"/>
          <w:lang w:val="en-US"/>
        </w:rPr>
        <w:t>eople</w:t>
      </w:r>
      <w:r w:rsidR="00E91148">
        <w:rPr>
          <w:noProof/>
          <w:color w:val="000000"/>
          <w:sz w:val="22"/>
          <w:szCs w:val="22"/>
          <w:lang w:val="en-US"/>
        </w:rPr>
        <w:t>)</w:t>
      </w:r>
      <w:r w:rsidRPr="005C4856">
        <w:rPr>
          <w:noProof/>
          <w:color w:val="000000"/>
          <w:sz w:val="22"/>
          <w:szCs w:val="22"/>
          <w:lang w:val="en-US"/>
        </w:rPr>
        <w:t>;</w:t>
      </w:r>
    </w:p>
    <w:p w:rsidR="005C4856" w:rsidRDefault="008A1146" w:rsidP="005C4856">
      <w:pPr>
        <w:tabs>
          <w:tab w:val="left" w:pos="426"/>
          <w:tab w:val="left" w:pos="993"/>
        </w:tabs>
        <w:autoSpaceDE w:val="0"/>
        <w:autoSpaceDN w:val="0"/>
        <w:adjustRightInd w:val="0"/>
        <w:ind w:left="-709" w:firstLine="709"/>
        <w:jc w:val="both"/>
        <w:rPr>
          <w:noProof/>
          <w:color w:val="000000"/>
          <w:sz w:val="22"/>
          <w:szCs w:val="22"/>
          <w:lang w:val="en-US"/>
        </w:rPr>
      </w:pPr>
      <w:r>
        <w:rPr>
          <w:noProof/>
          <w:color w:val="000000"/>
          <w:sz w:val="22"/>
          <w:szCs w:val="22"/>
          <w:lang w:val="en-US"/>
        </w:rPr>
        <w:t>• i</w:t>
      </w:r>
      <w:r w:rsidR="005C4856" w:rsidRPr="005C4856">
        <w:rPr>
          <w:noProof/>
          <w:color w:val="000000"/>
          <w:sz w:val="22"/>
          <w:szCs w:val="22"/>
          <w:lang w:val="en-US"/>
        </w:rPr>
        <w:t xml:space="preserve">ncreased operating </w:t>
      </w:r>
      <w:r>
        <w:rPr>
          <w:noProof/>
          <w:color w:val="000000"/>
          <w:sz w:val="22"/>
          <w:szCs w:val="22"/>
          <w:lang w:val="en-US"/>
        </w:rPr>
        <w:t>activities of Air Astana</w:t>
      </w:r>
      <w:r w:rsidR="00E91148">
        <w:rPr>
          <w:noProof/>
          <w:color w:val="000000"/>
          <w:sz w:val="22"/>
          <w:szCs w:val="22"/>
          <w:lang w:val="en-US"/>
        </w:rPr>
        <w:t xml:space="preserve"> (402 p</w:t>
      </w:r>
      <w:r w:rsidR="00E91148" w:rsidRPr="00864505">
        <w:rPr>
          <w:noProof/>
          <w:color w:val="000000"/>
          <w:sz w:val="22"/>
          <w:szCs w:val="22"/>
          <w:lang w:val="en-US"/>
        </w:rPr>
        <w:t>eople</w:t>
      </w:r>
      <w:r w:rsidR="00E91148">
        <w:rPr>
          <w:noProof/>
          <w:color w:val="000000"/>
          <w:sz w:val="22"/>
          <w:szCs w:val="22"/>
          <w:lang w:val="en-US"/>
        </w:rPr>
        <w:t>)</w:t>
      </w:r>
      <w:r w:rsidR="005C4856" w:rsidRPr="005C4856">
        <w:rPr>
          <w:noProof/>
          <w:color w:val="000000"/>
          <w:sz w:val="22"/>
          <w:szCs w:val="22"/>
          <w:lang w:val="en-US"/>
        </w:rPr>
        <w:t xml:space="preserve"> such as geography of flights (opening of offices in </w:t>
      </w:r>
      <w:r w:rsidRPr="005C4856">
        <w:rPr>
          <w:noProof/>
          <w:color w:val="000000"/>
          <w:sz w:val="22"/>
          <w:szCs w:val="22"/>
          <w:lang w:val="en-US"/>
        </w:rPr>
        <w:t xml:space="preserve">new </w:t>
      </w:r>
      <w:r w:rsidR="005C4856" w:rsidRPr="005C4856">
        <w:rPr>
          <w:noProof/>
          <w:color w:val="000000"/>
          <w:sz w:val="22"/>
          <w:szCs w:val="22"/>
          <w:lang w:val="en-US"/>
        </w:rPr>
        <w:t>airports), fleet</w:t>
      </w:r>
      <w:r>
        <w:rPr>
          <w:noProof/>
          <w:color w:val="000000"/>
          <w:sz w:val="22"/>
          <w:szCs w:val="22"/>
          <w:lang w:val="en-US"/>
        </w:rPr>
        <w:t xml:space="preserve"> of the company</w:t>
      </w:r>
      <w:r w:rsidR="005C4856" w:rsidRPr="005C4856">
        <w:rPr>
          <w:noProof/>
          <w:color w:val="000000"/>
          <w:sz w:val="22"/>
          <w:szCs w:val="22"/>
          <w:lang w:val="en-US"/>
        </w:rPr>
        <w:t xml:space="preserve"> (</w:t>
      </w:r>
      <w:r>
        <w:rPr>
          <w:noProof/>
          <w:color w:val="000000"/>
          <w:sz w:val="22"/>
          <w:szCs w:val="22"/>
          <w:lang w:val="en-US"/>
        </w:rPr>
        <w:t>engaging</w:t>
      </w:r>
      <w:r w:rsidR="005C4856" w:rsidRPr="005C4856">
        <w:rPr>
          <w:noProof/>
          <w:color w:val="000000"/>
          <w:sz w:val="22"/>
          <w:szCs w:val="22"/>
          <w:lang w:val="en-US"/>
        </w:rPr>
        <w:t xml:space="preserve"> pilots, cabin crew, engineering staff, etc.).</w:t>
      </w:r>
    </w:p>
    <w:p w:rsidR="003A1285" w:rsidRPr="00DE21F5" w:rsidRDefault="008A1146" w:rsidP="005C4856">
      <w:pPr>
        <w:tabs>
          <w:tab w:val="left" w:pos="426"/>
          <w:tab w:val="left" w:pos="993"/>
        </w:tabs>
        <w:autoSpaceDE w:val="0"/>
        <w:autoSpaceDN w:val="0"/>
        <w:adjustRightInd w:val="0"/>
        <w:ind w:left="-709" w:firstLine="709"/>
        <w:jc w:val="both"/>
        <w:rPr>
          <w:noProof/>
          <w:color w:val="000000"/>
          <w:sz w:val="22"/>
          <w:szCs w:val="22"/>
          <w:lang w:val="en-US"/>
        </w:rPr>
      </w:pPr>
      <w:r>
        <w:rPr>
          <w:noProof/>
          <w:color w:val="000000"/>
          <w:sz w:val="22"/>
          <w:szCs w:val="22"/>
          <w:lang w:val="en-US"/>
        </w:rPr>
        <w:t xml:space="preserve">The </w:t>
      </w:r>
      <w:r w:rsidRPr="00DE21F5">
        <w:rPr>
          <w:noProof/>
          <w:color w:val="000000"/>
          <w:sz w:val="22"/>
          <w:szCs w:val="22"/>
          <w:lang w:val="en-US"/>
        </w:rPr>
        <w:t>Fund</w:t>
      </w:r>
      <w:r>
        <w:rPr>
          <w:noProof/>
          <w:color w:val="000000"/>
          <w:sz w:val="22"/>
          <w:szCs w:val="22"/>
          <w:lang w:val="en-US"/>
        </w:rPr>
        <w:t xml:space="preserve"> jointly with </w:t>
      </w:r>
      <w:r w:rsidRPr="00DE21F5">
        <w:rPr>
          <w:noProof/>
          <w:color w:val="000000"/>
          <w:sz w:val="22"/>
          <w:szCs w:val="22"/>
          <w:lang w:val="en-US"/>
        </w:rPr>
        <w:t xml:space="preserve">Companies </w:t>
      </w:r>
      <w:r>
        <w:rPr>
          <w:noProof/>
          <w:color w:val="000000"/>
          <w:sz w:val="22"/>
          <w:szCs w:val="22"/>
          <w:lang w:val="en-US"/>
        </w:rPr>
        <w:t>will develop a</w:t>
      </w:r>
      <w:r w:rsidRPr="00DE21F5">
        <w:rPr>
          <w:noProof/>
          <w:color w:val="000000"/>
          <w:sz w:val="22"/>
          <w:szCs w:val="22"/>
          <w:lang w:val="en-US"/>
        </w:rPr>
        <w:t xml:space="preserve"> medium-term program to reduce costs of the </w:t>
      </w:r>
      <w:r>
        <w:rPr>
          <w:noProof/>
          <w:color w:val="000000"/>
          <w:sz w:val="22"/>
          <w:szCs w:val="22"/>
          <w:lang w:val="en-US"/>
        </w:rPr>
        <w:t xml:space="preserve">Group of the </w:t>
      </w:r>
      <w:r w:rsidRPr="00DE21F5">
        <w:rPr>
          <w:noProof/>
          <w:color w:val="000000"/>
          <w:sz w:val="22"/>
          <w:szCs w:val="22"/>
          <w:lang w:val="en-US"/>
        </w:rPr>
        <w:t>Fund</w:t>
      </w:r>
      <w:r>
        <w:rPr>
          <w:noProof/>
          <w:color w:val="000000"/>
          <w:sz w:val="22"/>
          <w:szCs w:val="22"/>
          <w:lang w:val="en-US"/>
        </w:rPr>
        <w:t xml:space="preserve"> up to 2015</w:t>
      </w:r>
      <w:r w:rsidRPr="00DE21F5">
        <w:rPr>
          <w:noProof/>
          <w:color w:val="000000"/>
          <w:sz w:val="22"/>
          <w:szCs w:val="22"/>
          <w:lang w:val="en-US"/>
        </w:rPr>
        <w:t>, aimed at optimizing both cost and other expenses</w:t>
      </w:r>
      <w:r>
        <w:rPr>
          <w:noProof/>
          <w:color w:val="000000"/>
          <w:sz w:val="22"/>
          <w:szCs w:val="22"/>
          <w:lang w:val="en-US"/>
        </w:rPr>
        <w:t xml:space="preserve"> by diagnostics and analysis of business processes and others</w:t>
      </w:r>
      <w:r w:rsidRPr="00DE21F5">
        <w:rPr>
          <w:noProof/>
          <w:color w:val="000000"/>
          <w:sz w:val="22"/>
          <w:szCs w:val="22"/>
          <w:lang w:val="en-US"/>
        </w:rPr>
        <w:t>.</w:t>
      </w:r>
      <w:r>
        <w:rPr>
          <w:noProof/>
          <w:color w:val="000000"/>
          <w:sz w:val="22"/>
          <w:szCs w:val="22"/>
          <w:lang w:val="en-US"/>
        </w:rPr>
        <w:t xml:space="preserve"> First results are planned to get in H1 2013. </w:t>
      </w:r>
      <w:r w:rsidR="002D73DC" w:rsidRPr="00DE21F5">
        <w:rPr>
          <w:noProof/>
          <w:color w:val="000000"/>
          <w:sz w:val="22"/>
          <w:szCs w:val="22"/>
          <w:lang w:val="en-US"/>
        </w:rPr>
        <w:t xml:space="preserve">Moreover, </w:t>
      </w:r>
      <w:r w:rsidR="002D73DC">
        <w:rPr>
          <w:noProof/>
          <w:color w:val="000000"/>
          <w:sz w:val="22"/>
          <w:szCs w:val="22"/>
          <w:lang w:val="en-US"/>
        </w:rPr>
        <w:t>i</w:t>
      </w:r>
      <w:r w:rsidR="003A1285" w:rsidRPr="00DE21F5">
        <w:rPr>
          <w:noProof/>
          <w:color w:val="000000"/>
          <w:sz w:val="22"/>
          <w:szCs w:val="22"/>
          <w:lang w:val="en-US"/>
        </w:rPr>
        <w:t xml:space="preserve">n </w:t>
      </w:r>
      <w:r w:rsidR="002D73DC">
        <w:rPr>
          <w:noProof/>
          <w:color w:val="000000"/>
          <w:sz w:val="22"/>
          <w:szCs w:val="22"/>
          <w:lang w:val="en-US"/>
        </w:rPr>
        <w:t xml:space="preserve">early </w:t>
      </w:r>
      <w:r w:rsidR="003A1285" w:rsidRPr="00DE21F5">
        <w:rPr>
          <w:noProof/>
          <w:color w:val="000000"/>
          <w:sz w:val="22"/>
          <w:szCs w:val="22"/>
          <w:lang w:val="en-US"/>
        </w:rPr>
        <w:t xml:space="preserve">2012 at the initiative of the Companies </w:t>
      </w:r>
      <w:r w:rsidR="003A1285">
        <w:rPr>
          <w:noProof/>
          <w:color w:val="000000"/>
          <w:sz w:val="22"/>
          <w:szCs w:val="22"/>
          <w:lang w:val="en-US"/>
        </w:rPr>
        <w:t xml:space="preserve">there were </w:t>
      </w:r>
      <w:r w:rsidR="003A1285" w:rsidRPr="00DE21F5">
        <w:rPr>
          <w:noProof/>
          <w:color w:val="000000"/>
          <w:sz w:val="22"/>
          <w:szCs w:val="22"/>
          <w:lang w:val="en-US"/>
        </w:rPr>
        <w:t xml:space="preserve">taken </w:t>
      </w:r>
      <w:r w:rsidR="003A1285">
        <w:rPr>
          <w:noProof/>
          <w:color w:val="000000"/>
          <w:sz w:val="22"/>
          <w:szCs w:val="22"/>
          <w:lang w:val="en-US"/>
        </w:rPr>
        <w:t xml:space="preserve">measures </w:t>
      </w:r>
      <w:r w:rsidR="003A1285" w:rsidRPr="00DE21F5">
        <w:rPr>
          <w:noProof/>
          <w:color w:val="000000"/>
          <w:sz w:val="22"/>
          <w:szCs w:val="22"/>
          <w:lang w:val="en-US"/>
        </w:rPr>
        <w:t xml:space="preserve">to reduce overall administrative costs by </w:t>
      </w:r>
      <w:r w:rsidR="003A1285">
        <w:rPr>
          <w:noProof/>
          <w:color w:val="000000"/>
          <w:sz w:val="22"/>
          <w:szCs w:val="22"/>
          <w:lang w:val="en-US"/>
        </w:rPr>
        <w:t xml:space="preserve">KZT </w:t>
      </w:r>
      <w:r w:rsidR="002D73DC">
        <w:rPr>
          <w:noProof/>
          <w:color w:val="000000"/>
          <w:sz w:val="22"/>
          <w:szCs w:val="22"/>
          <w:lang w:val="en-US"/>
        </w:rPr>
        <w:t>4.8</w:t>
      </w:r>
      <w:r w:rsidR="003A1285" w:rsidRPr="00DE21F5">
        <w:rPr>
          <w:noProof/>
          <w:color w:val="000000"/>
          <w:sz w:val="22"/>
          <w:szCs w:val="22"/>
          <w:lang w:val="en-US"/>
        </w:rPr>
        <w:t xml:space="preserve"> billion, </w:t>
      </w:r>
      <w:r w:rsidR="003A1285">
        <w:rPr>
          <w:noProof/>
          <w:color w:val="000000"/>
          <w:sz w:val="22"/>
          <w:szCs w:val="22"/>
          <w:lang w:val="en-US"/>
        </w:rPr>
        <w:t>and</w:t>
      </w:r>
      <w:r w:rsidR="003A1285" w:rsidRPr="00DE21F5">
        <w:rPr>
          <w:noProof/>
          <w:color w:val="000000"/>
          <w:sz w:val="22"/>
          <w:szCs w:val="22"/>
          <w:lang w:val="en-US"/>
        </w:rPr>
        <w:t xml:space="preserve"> the number </w:t>
      </w:r>
      <w:r w:rsidR="003A1285">
        <w:rPr>
          <w:noProof/>
          <w:color w:val="000000"/>
          <w:sz w:val="22"/>
          <w:szCs w:val="22"/>
          <w:lang w:val="en-US"/>
        </w:rPr>
        <w:t>by</w:t>
      </w:r>
      <w:r w:rsidR="003A1285" w:rsidRPr="00DE21F5">
        <w:rPr>
          <w:noProof/>
          <w:color w:val="000000"/>
          <w:sz w:val="22"/>
          <w:szCs w:val="22"/>
          <w:lang w:val="en-US"/>
        </w:rPr>
        <w:t xml:space="preserve"> </w:t>
      </w:r>
      <w:r w:rsidR="002D73DC">
        <w:rPr>
          <w:noProof/>
          <w:color w:val="000000"/>
          <w:sz w:val="22"/>
          <w:szCs w:val="22"/>
          <w:lang w:val="en-US"/>
        </w:rPr>
        <w:t>1.9</w:t>
      </w:r>
      <w:r w:rsidR="003A1285" w:rsidRPr="00DE21F5">
        <w:rPr>
          <w:noProof/>
          <w:color w:val="000000"/>
          <w:sz w:val="22"/>
          <w:szCs w:val="22"/>
          <w:lang w:val="en-US"/>
        </w:rPr>
        <w:t xml:space="preserve"> thousand people. </w:t>
      </w:r>
    </w:p>
    <w:p w:rsidR="003A1285" w:rsidRDefault="003A1285" w:rsidP="003A1285">
      <w:pPr>
        <w:tabs>
          <w:tab w:val="left" w:pos="426"/>
          <w:tab w:val="left" w:pos="993"/>
        </w:tabs>
        <w:autoSpaceDE w:val="0"/>
        <w:autoSpaceDN w:val="0"/>
        <w:adjustRightInd w:val="0"/>
        <w:ind w:left="-709" w:firstLine="709"/>
        <w:jc w:val="both"/>
        <w:rPr>
          <w:noProof/>
          <w:color w:val="000000"/>
          <w:sz w:val="22"/>
          <w:szCs w:val="22"/>
          <w:lang w:val="en-US"/>
        </w:rPr>
      </w:pPr>
      <w:r>
        <w:rPr>
          <w:noProof/>
          <w:color w:val="000000"/>
          <w:sz w:val="22"/>
          <w:szCs w:val="22"/>
          <w:lang w:val="en-US"/>
        </w:rPr>
        <w:t>T</w:t>
      </w:r>
      <w:r w:rsidRPr="00DE21F5">
        <w:rPr>
          <w:noProof/>
          <w:color w:val="000000"/>
          <w:sz w:val="22"/>
          <w:szCs w:val="22"/>
          <w:lang w:val="en-US"/>
        </w:rPr>
        <w:t xml:space="preserve">he </w:t>
      </w:r>
      <w:r>
        <w:rPr>
          <w:noProof/>
          <w:color w:val="000000"/>
          <w:sz w:val="22"/>
          <w:szCs w:val="22"/>
          <w:lang w:val="en-US"/>
        </w:rPr>
        <w:t xml:space="preserve">Group of the </w:t>
      </w:r>
      <w:r w:rsidRPr="00DE21F5">
        <w:rPr>
          <w:noProof/>
          <w:color w:val="000000"/>
          <w:sz w:val="22"/>
          <w:szCs w:val="22"/>
          <w:lang w:val="en-US"/>
        </w:rPr>
        <w:t xml:space="preserve">Fund is working to optimize the asset structure of </w:t>
      </w:r>
      <w:r>
        <w:rPr>
          <w:noProof/>
          <w:color w:val="000000"/>
          <w:sz w:val="22"/>
          <w:szCs w:val="22"/>
          <w:lang w:val="en-US"/>
        </w:rPr>
        <w:t>C</w:t>
      </w:r>
      <w:r w:rsidRPr="00DE21F5">
        <w:rPr>
          <w:noProof/>
          <w:color w:val="000000"/>
          <w:sz w:val="22"/>
          <w:szCs w:val="22"/>
          <w:lang w:val="en-US"/>
        </w:rPr>
        <w:t>ompanies, including non-core assets. Currently, KTZ</w:t>
      </w:r>
      <w:r>
        <w:rPr>
          <w:noProof/>
          <w:color w:val="000000"/>
          <w:sz w:val="22"/>
          <w:szCs w:val="22"/>
          <w:lang w:val="en-US"/>
        </w:rPr>
        <w:t>h</w:t>
      </w:r>
      <w:r w:rsidR="009B214D">
        <w:rPr>
          <w:noProof/>
          <w:color w:val="000000"/>
          <w:sz w:val="22"/>
          <w:szCs w:val="22"/>
          <w:lang w:val="en-US"/>
        </w:rPr>
        <w:t>,</w:t>
      </w:r>
      <w:r w:rsidRPr="00DE21F5">
        <w:rPr>
          <w:noProof/>
          <w:color w:val="000000"/>
          <w:sz w:val="22"/>
          <w:szCs w:val="22"/>
          <w:lang w:val="en-US"/>
        </w:rPr>
        <w:t xml:space="preserve"> Samruk-Energy </w:t>
      </w:r>
      <w:r w:rsidR="009B214D" w:rsidRPr="00DE21F5">
        <w:rPr>
          <w:noProof/>
          <w:color w:val="000000"/>
          <w:sz w:val="22"/>
          <w:szCs w:val="22"/>
          <w:lang w:val="en-US"/>
        </w:rPr>
        <w:t>and</w:t>
      </w:r>
      <w:r w:rsidR="009B214D">
        <w:rPr>
          <w:noProof/>
          <w:color w:val="000000"/>
          <w:sz w:val="22"/>
          <w:szCs w:val="22"/>
          <w:lang w:val="en-US"/>
        </w:rPr>
        <w:t xml:space="preserve"> K</w:t>
      </w:r>
      <w:r w:rsidR="009B214D" w:rsidRPr="00DE21F5">
        <w:rPr>
          <w:noProof/>
          <w:color w:val="000000"/>
          <w:sz w:val="22"/>
          <w:szCs w:val="22"/>
          <w:lang w:val="en-US"/>
        </w:rPr>
        <w:t xml:space="preserve">AP </w:t>
      </w:r>
      <w:r w:rsidR="009B214D">
        <w:rPr>
          <w:noProof/>
          <w:color w:val="000000"/>
          <w:sz w:val="22"/>
          <w:szCs w:val="22"/>
          <w:lang w:val="en-US"/>
        </w:rPr>
        <w:t xml:space="preserve"> </w:t>
      </w:r>
      <w:r>
        <w:rPr>
          <w:noProof/>
          <w:color w:val="000000"/>
          <w:sz w:val="22"/>
          <w:szCs w:val="22"/>
          <w:lang w:val="en-US"/>
        </w:rPr>
        <w:t>adopted</w:t>
      </w:r>
      <w:r w:rsidRPr="00DE21F5">
        <w:rPr>
          <w:noProof/>
          <w:color w:val="000000"/>
          <w:sz w:val="22"/>
          <w:szCs w:val="22"/>
          <w:lang w:val="en-US"/>
        </w:rPr>
        <w:t xml:space="preserve"> the appropriate </w:t>
      </w:r>
      <w:r>
        <w:rPr>
          <w:noProof/>
          <w:color w:val="000000"/>
          <w:sz w:val="22"/>
          <w:szCs w:val="22"/>
          <w:lang w:val="en-US"/>
        </w:rPr>
        <w:t>A</w:t>
      </w:r>
      <w:r w:rsidRPr="00DE21F5">
        <w:rPr>
          <w:noProof/>
          <w:color w:val="000000"/>
          <w:sz w:val="22"/>
          <w:szCs w:val="22"/>
          <w:lang w:val="en-US"/>
        </w:rPr>
        <w:t xml:space="preserve">ction </w:t>
      </w:r>
      <w:r>
        <w:rPr>
          <w:noProof/>
          <w:color w:val="000000"/>
          <w:sz w:val="22"/>
          <w:szCs w:val="22"/>
          <w:lang w:val="en-US"/>
        </w:rPr>
        <w:t>P</w:t>
      </w:r>
      <w:r w:rsidRPr="00DE21F5">
        <w:rPr>
          <w:noProof/>
          <w:color w:val="000000"/>
          <w:sz w:val="22"/>
          <w:szCs w:val="22"/>
          <w:lang w:val="en-US"/>
        </w:rPr>
        <w:t>lan</w:t>
      </w:r>
      <w:r w:rsidR="009B214D">
        <w:rPr>
          <w:noProof/>
          <w:color w:val="000000"/>
          <w:sz w:val="22"/>
          <w:szCs w:val="22"/>
          <w:lang w:val="en-US"/>
        </w:rPr>
        <w:t>s</w:t>
      </w:r>
      <w:r w:rsidRPr="00DE21F5">
        <w:rPr>
          <w:noProof/>
          <w:color w:val="000000"/>
          <w:sz w:val="22"/>
          <w:szCs w:val="22"/>
          <w:lang w:val="en-US"/>
        </w:rPr>
        <w:t xml:space="preserve"> and implement</w:t>
      </w:r>
      <w:r>
        <w:rPr>
          <w:noProof/>
          <w:color w:val="000000"/>
          <w:sz w:val="22"/>
          <w:szCs w:val="22"/>
          <w:lang w:val="en-US"/>
        </w:rPr>
        <w:t>ed</w:t>
      </w:r>
      <w:r w:rsidRPr="00DE21F5">
        <w:rPr>
          <w:noProof/>
          <w:color w:val="000000"/>
          <w:sz w:val="22"/>
          <w:szCs w:val="22"/>
          <w:lang w:val="en-US"/>
        </w:rPr>
        <w:t xml:space="preserve"> it. </w:t>
      </w:r>
      <w:r>
        <w:rPr>
          <w:noProof/>
          <w:color w:val="000000"/>
          <w:sz w:val="22"/>
          <w:szCs w:val="22"/>
          <w:lang w:val="en-US"/>
        </w:rPr>
        <w:t>KMG</w:t>
      </w:r>
      <w:r w:rsidRPr="00DE21F5">
        <w:rPr>
          <w:noProof/>
          <w:color w:val="000000"/>
          <w:sz w:val="22"/>
          <w:szCs w:val="22"/>
          <w:lang w:val="en-US"/>
        </w:rPr>
        <w:t xml:space="preserve"> </w:t>
      </w:r>
      <w:r>
        <w:rPr>
          <w:noProof/>
          <w:color w:val="000000"/>
          <w:sz w:val="22"/>
          <w:szCs w:val="22"/>
          <w:lang w:val="en-US"/>
        </w:rPr>
        <w:t>reviews</w:t>
      </w:r>
      <w:r w:rsidRPr="00DE21F5">
        <w:rPr>
          <w:noProof/>
          <w:color w:val="000000"/>
          <w:sz w:val="22"/>
          <w:szCs w:val="22"/>
          <w:lang w:val="en-US"/>
        </w:rPr>
        <w:t xml:space="preserve"> the previously approved plan. </w:t>
      </w:r>
    </w:p>
    <w:p w:rsidR="009B214D" w:rsidRPr="00DE21F5" w:rsidRDefault="0056697A" w:rsidP="003A1285">
      <w:pPr>
        <w:tabs>
          <w:tab w:val="left" w:pos="426"/>
          <w:tab w:val="left" w:pos="993"/>
        </w:tabs>
        <w:autoSpaceDE w:val="0"/>
        <w:autoSpaceDN w:val="0"/>
        <w:adjustRightInd w:val="0"/>
        <w:ind w:left="-709" w:firstLine="709"/>
        <w:jc w:val="both"/>
        <w:rPr>
          <w:noProof/>
          <w:color w:val="000000"/>
          <w:sz w:val="22"/>
          <w:szCs w:val="22"/>
          <w:lang w:val="en-US"/>
        </w:rPr>
      </w:pPr>
      <w:r w:rsidRPr="0056697A">
        <w:rPr>
          <w:noProof/>
          <w:color w:val="000000"/>
          <w:sz w:val="22"/>
          <w:szCs w:val="22"/>
          <w:lang w:val="en-US"/>
        </w:rPr>
        <w:t xml:space="preserve">In order to support the financial </w:t>
      </w:r>
      <w:r w:rsidR="002A6EA8">
        <w:rPr>
          <w:noProof/>
          <w:color w:val="000000"/>
          <w:sz w:val="22"/>
          <w:szCs w:val="22"/>
          <w:lang w:val="en-US"/>
        </w:rPr>
        <w:t>indicaors</w:t>
      </w:r>
      <w:r w:rsidRPr="0056697A">
        <w:rPr>
          <w:noProof/>
          <w:color w:val="000000"/>
          <w:sz w:val="22"/>
          <w:szCs w:val="22"/>
          <w:lang w:val="en-US"/>
        </w:rPr>
        <w:t xml:space="preserve"> according </w:t>
      </w:r>
      <w:r w:rsidR="002A6EA8">
        <w:rPr>
          <w:noProof/>
          <w:color w:val="000000"/>
          <w:sz w:val="22"/>
          <w:szCs w:val="22"/>
          <w:lang w:val="en-US"/>
        </w:rPr>
        <w:t>to the prudential standards</w:t>
      </w:r>
      <w:r w:rsidRPr="0056697A">
        <w:rPr>
          <w:noProof/>
          <w:color w:val="000000"/>
          <w:sz w:val="22"/>
          <w:szCs w:val="22"/>
          <w:lang w:val="en-US"/>
        </w:rPr>
        <w:t xml:space="preserve"> and other requirements set by t</w:t>
      </w:r>
      <w:r w:rsidR="002A6EA8">
        <w:rPr>
          <w:noProof/>
          <w:color w:val="000000"/>
          <w:sz w:val="22"/>
          <w:szCs w:val="22"/>
          <w:lang w:val="en-US"/>
        </w:rPr>
        <w:t xml:space="preserve">he National Bank of Kazakhstan for the </w:t>
      </w:r>
      <w:r w:rsidRPr="0056697A">
        <w:rPr>
          <w:noProof/>
          <w:color w:val="000000"/>
          <w:sz w:val="22"/>
          <w:szCs w:val="22"/>
          <w:lang w:val="en-US"/>
        </w:rPr>
        <w:t xml:space="preserve">issue </w:t>
      </w:r>
      <w:r w:rsidR="002A6EA8">
        <w:rPr>
          <w:noProof/>
          <w:color w:val="000000"/>
          <w:sz w:val="22"/>
          <w:szCs w:val="22"/>
          <w:lang w:val="en-US"/>
        </w:rPr>
        <w:t xml:space="preserve">of </w:t>
      </w:r>
      <w:r w:rsidRPr="0056697A">
        <w:rPr>
          <w:noProof/>
          <w:color w:val="000000"/>
          <w:sz w:val="22"/>
          <w:szCs w:val="22"/>
          <w:lang w:val="en-US"/>
        </w:rPr>
        <w:t>bonds and loan agreements</w:t>
      </w:r>
      <w:r w:rsidR="002A6EA8">
        <w:rPr>
          <w:noProof/>
          <w:color w:val="000000"/>
          <w:sz w:val="22"/>
          <w:szCs w:val="22"/>
          <w:lang w:val="en-US"/>
        </w:rPr>
        <w:t>,</w:t>
      </w:r>
      <w:r w:rsidRPr="0056697A">
        <w:rPr>
          <w:noProof/>
          <w:color w:val="000000"/>
          <w:sz w:val="22"/>
          <w:szCs w:val="22"/>
          <w:lang w:val="en-US"/>
        </w:rPr>
        <w:t xml:space="preserve"> BTA Bank was forced to recognize the cost</w:t>
      </w:r>
      <w:r w:rsidR="002A6EA8">
        <w:rPr>
          <w:noProof/>
          <w:color w:val="000000"/>
          <w:sz w:val="22"/>
          <w:szCs w:val="22"/>
          <w:lang w:val="en-US"/>
        </w:rPr>
        <w:t>s on</w:t>
      </w:r>
      <w:r w:rsidRPr="0056697A">
        <w:rPr>
          <w:noProof/>
          <w:color w:val="000000"/>
          <w:sz w:val="22"/>
          <w:szCs w:val="22"/>
          <w:lang w:val="en-US"/>
        </w:rPr>
        <w:t xml:space="preserve"> bonds for recovery of </w:t>
      </w:r>
      <w:r w:rsidR="002A6EA8">
        <w:rPr>
          <w:noProof/>
          <w:color w:val="000000"/>
          <w:sz w:val="22"/>
          <w:szCs w:val="22"/>
          <w:lang w:val="en-US"/>
        </w:rPr>
        <w:t>KZT</w:t>
      </w:r>
      <w:r w:rsidRPr="0056697A">
        <w:rPr>
          <w:noProof/>
          <w:color w:val="000000"/>
          <w:sz w:val="22"/>
          <w:szCs w:val="22"/>
          <w:lang w:val="en-US"/>
        </w:rPr>
        <w:t xml:space="preserve"> 635.2 billion. Currently</w:t>
      </w:r>
      <w:r w:rsidR="002A6EA8">
        <w:rPr>
          <w:noProof/>
          <w:color w:val="000000"/>
          <w:sz w:val="22"/>
          <w:szCs w:val="22"/>
          <w:lang w:val="en-US"/>
        </w:rPr>
        <w:t>,</w:t>
      </w:r>
      <w:r w:rsidRPr="0056697A">
        <w:rPr>
          <w:noProof/>
          <w:color w:val="000000"/>
          <w:sz w:val="22"/>
          <w:szCs w:val="22"/>
          <w:lang w:val="en-US"/>
        </w:rPr>
        <w:t xml:space="preserve"> </w:t>
      </w:r>
      <w:r w:rsidR="002A6EA8">
        <w:rPr>
          <w:noProof/>
          <w:color w:val="000000"/>
          <w:sz w:val="22"/>
          <w:szCs w:val="22"/>
          <w:lang w:val="en-US"/>
        </w:rPr>
        <w:t>the negotiations</w:t>
      </w:r>
      <w:r w:rsidRPr="0056697A">
        <w:rPr>
          <w:noProof/>
          <w:color w:val="000000"/>
          <w:sz w:val="22"/>
          <w:szCs w:val="22"/>
          <w:lang w:val="en-US"/>
        </w:rPr>
        <w:t xml:space="preserve"> with the creditors' committee on options debt restructuring of BTA Bank</w:t>
      </w:r>
      <w:r w:rsidR="002A6EA8">
        <w:rPr>
          <w:noProof/>
          <w:color w:val="000000"/>
          <w:sz w:val="22"/>
          <w:szCs w:val="22"/>
          <w:lang w:val="en-US"/>
        </w:rPr>
        <w:t xml:space="preserve"> are being held</w:t>
      </w:r>
      <w:r w:rsidRPr="0056697A">
        <w:rPr>
          <w:noProof/>
          <w:color w:val="000000"/>
          <w:sz w:val="22"/>
          <w:szCs w:val="22"/>
          <w:lang w:val="en-US"/>
        </w:rPr>
        <w:t xml:space="preserve">, </w:t>
      </w:r>
      <w:r w:rsidR="002A6EA8">
        <w:rPr>
          <w:noProof/>
          <w:color w:val="000000"/>
          <w:sz w:val="22"/>
          <w:szCs w:val="22"/>
          <w:lang w:val="en-US"/>
        </w:rPr>
        <w:t xml:space="preserve">during </w:t>
      </w:r>
      <w:r w:rsidRPr="0056697A">
        <w:rPr>
          <w:noProof/>
          <w:color w:val="000000"/>
          <w:sz w:val="22"/>
          <w:szCs w:val="22"/>
          <w:lang w:val="en-US"/>
        </w:rPr>
        <w:t xml:space="preserve">the negotiations </w:t>
      </w:r>
      <w:r w:rsidR="002A6EA8">
        <w:rPr>
          <w:noProof/>
          <w:color w:val="000000"/>
          <w:sz w:val="22"/>
          <w:szCs w:val="22"/>
          <w:lang w:val="en-US"/>
        </w:rPr>
        <w:t xml:space="preserve">there </w:t>
      </w:r>
      <w:r w:rsidRPr="0056697A">
        <w:rPr>
          <w:noProof/>
          <w:color w:val="000000"/>
          <w:sz w:val="22"/>
          <w:szCs w:val="22"/>
          <w:lang w:val="en-US"/>
        </w:rPr>
        <w:t>will</w:t>
      </w:r>
      <w:r w:rsidR="002A6EA8">
        <w:rPr>
          <w:noProof/>
          <w:color w:val="000000"/>
          <w:sz w:val="22"/>
          <w:szCs w:val="22"/>
          <w:lang w:val="en-US"/>
        </w:rPr>
        <w:t xml:space="preserve"> be</w:t>
      </w:r>
      <w:r w:rsidRPr="0056697A">
        <w:rPr>
          <w:noProof/>
          <w:color w:val="000000"/>
          <w:sz w:val="22"/>
          <w:szCs w:val="22"/>
          <w:lang w:val="en-US"/>
        </w:rPr>
        <w:t xml:space="preserve"> determine</w:t>
      </w:r>
      <w:r w:rsidR="002A6EA8">
        <w:rPr>
          <w:noProof/>
          <w:color w:val="000000"/>
          <w:sz w:val="22"/>
          <w:szCs w:val="22"/>
          <w:lang w:val="en-US"/>
        </w:rPr>
        <w:t>d</w:t>
      </w:r>
      <w:r w:rsidRPr="0056697A">
        <w:rPr>
          <w:noProof/>
          <w:color w:val="000000"/>
          <w:sz w:val="22"/>
          <w:szCs w:val="22"/>
          <w:lang w:val="en-US"/>
        </w:rPr>
        <w:t xml:space="preserve"> the final terms of restructuring, including the obligations on </w:t>
      </w:r>
      <w:r w:rsidR="002A6EA8">
        <w:rPr>
          <w:noProof/>
          <w:color w:val="000000"/>
          <w:sz w:val="22"/>
          <w:szCs w:val="22"/>
          <w:lang w:val="en-US"/>
        </w:rPr>
        <w:t>recovery units.</w:t>
      </w:r>
    </w:p>
    <w:p w:rsidR="003A1285" w:rsidRDefault="003A1285" w:rsidP="003A1285">
      <w:pPr>
        <w:tabs>
          <w:tab w:val="left" w:pos="426"/>
          <w:tab w:val="left" w:pos="993"/>
        </w:tabs>
        <w:autoSpaceDE w:val="0"/>
        <w:autoSpaceDN w:val="0"/>
        <w:adjustRightInd w:val="0"/>
        <w:ind w:left="-709" w:firstLine="709"/>
        <w:jc w:val="both"/>
        <w:rPr>
          <w:noProof/>
          <w:color w:val="000000"/>
          <w:sz w:val="22"/>
          <w:szCs w:val="22"/>
          <w:lang w:val="en-US"/>
        </w:rPr>
      </w:pPr>
      <w:r>
        <w:rPr>
          <w:noProof/>
          <w:color w:val="000000"/>
          <w:sz w:val="22"/>
          <w:szCs w:val="22"/>
          <w:lang w:val="en-US"/>
        </w:rPr>
        <w:t xml:space="preserve">The reduction in </w:t>
      </w:r>
      <w:r w:rsidRPr="00DE21F5">
        <w:rPr>
          <w:noProof/>
          <w:color w:val="000000"/>
          <w:sz w:val="22"/>
          <w:szCs w:val="22"/>
          <w:lang w:val="en-US"/>
        </w:rPr>
        <w:t xml:space="preserve">financial performance </w:t>
      </w:r>
      <w:r>
        <w:rPr>
          <w:noProof/>
          <w:color w:val="000000"/>
          <w:sz w:val="22"/>
          <w:szCs w:val="22"/>
          <w:lang w:val="en-US"/>
        </w:rPr>
        <w:t xml:space="preserve">indicators </w:t>
      </w:r>
      <w:r w:rsidRPr="00DE21F5">
        <w:rPr>
          <w:noProof/>
          <w:color w:val="000000"/>
          <w:sz w:val="22"/>
          <w:szCs w:val="22"/>
          <w:lang w:val="en-US"/>
        </w:rPr>
        <w:t>(</w:t>
      </w:r>
      <w:r>
        <w:rPr>
          <w:noProof/>
          <w:color w:val="000000"/>
          <w:sz w:val="22"/>
          <w:szCs w:val="22"/>
          <w:lang w:val="en-US"/>
        </w:rPr>
        <w:t>KPI</w:t>
      </w:r>
      <w:r w:rsidRPr="00DE21F5">
        <w:rPr>
          <w:noProof/>
          <w:color w:val="000000"/>
          <w:sz w:val="22"/>
          <w:szCs w:val="22"/>
          <w:lang w:val="en-US"/>
        </w:rPr>
        <w:t xml:space="preserve">) </w:t>
      </w:r>
      <w:r>
        <w:rPr>
          <w:noProof/>
          <w:color w:val="000000"/>
          <w:sz w:val="22"/>
          <w:szCs w:val="22"/>
          <w:lang w:val="en-US"/>
        </w:rPr>
        <w:t>“</w:t>
      </w:r>
      <w:r w:rsidRPr="00DE21F5">
        <w:rPr>
          <w:noProof/>
          <w:color w:val="000000"/>
          <w:sz w:val="22"/>
          <w:szCs w:val="22"/>
          <w:lang w:val="en-US"/>
        </w:rPr>
        <w:t>EBITDA</w:t>
      </w:r>
      <w:r>
        <w:rPr>
          <w:noProof/>
          <w:color w:val="000000"/>
          <w:sz w:val="22"/>
          <w:szCs w:val="22"/>
          <w:lang w:val="en-US"/>
        </w:rPr>
        <w:t>”</w:t>
      </w:r>
      <w:r w:rsidRPr="00DE21F5">
        <w:rPr>
          <w:noProof/>
          <w:color w:val="000000"/>
          <w:sz w:val="22"/>
          <w:szCs w:val="22"/>
          <w:lang w:val="en-US"/>
        </w:rPr>
        <w:t xml:space="preserve"> and </w:t>
      </w:r>
      <w:r>
        <w:rPr>
          <w:noProof/>
          <w:color w:val="000000"/>
          <w:sz w:val="22"/>
          <w:szCs w:val="22"/>
          <w:lang w:val="en-US"/>
        </w:rPr>
        <w:t>“</w:t>
      </w:r>
      <w:r w:rsidRPr="00DE21F5">
        <w:rPr>
          <w:noProof/>
          <w:color w:val="000000"/>
          <w:sz w:val="22"/>
          <w:szCs w:val="22"/>
          <w:lang w:val="en-US"/>
        </w:rPr>
        <w:t>EBITDA margin</w:t>
      </w:r>
      <w:r>
        <w:rPr>
          <w:noProof/>
          <w:color w:val="000000"/>
          <w:sz w:val="22"/>
          <w:szCs w:val="22"/>
          <w:lang w:val="en-US"/>
        </w:rPr>
        <w:t>”</w:t>
      </w:r>
      <w:r w:rsidRPr="00DE21F5">
        <w:rPr>
          <w:noProof/>
          <w:color w:val="000000"/>
          <w:sz w:val="22"/>
          <w:szCs w:val="22"/>
          <w:lang w:val="en-US"/>
        </w:rPr>
        <w:t xml:space="preserve">, </w:t>
      </w:r>
      <w:r>
        <w:rPr>
          <w:noProof/>
          <w:color w:val="000000"/>
          <w:sz w:val="22"/>
          <w:szCs w:val="22"/>
          <w:lang w:val="en-US"/>
        </w:rPr>
        <w:t>“</w:t>
      </w:r>
      <w:r w:rsidRPr="00DE21F5">
        <w:rPr>
          <w:noProof/>
          <w:color w:val="000000"/>
          <w:sz w:val="22"/>
          <w:szCs w:val="22"/>
          <w:lang w:val="en-US"/>
        </w:rPr>
        <w:t>ROACE</w:t>
      </w:r>
      <w:r>
        <w:rPr>
          <w:noProof/>
          <w:color w:val="000000"/>
          <w:sz w:val="22"/>
          <w:szCs w:val="22"/>
          <w:lang w:val="en-US"/>
        </w:rPr>
        <w:t>”, “</w:t>
      </w:r>
      <w:r w:rsidRPr="00DE21F5">
        <w:rPr>
          <w:noProof/>
          <w:color w:val="000000"/>
          <w:sz w:val="22"/>
          <w:szCs w:val="22"/>
          <w:lang w:val="en-US"/>
        </w:rPr>
        <w:t>ROA</w:t>
      </w:r>
      <w:r>
        <w:rPr>
          <w:noProof/>
          <w:color w:val="000000"/>
          <w:sz w:val="22"/>
          <w:szCs w:val="22"/>
          <w:lang w:val="en-US"/>
        </w:rPr>
        <w:t>” and</w:t>
      </w:r>
      <w:r w:rsidR="009B214D">
        <w:rPr>
          <w:noProof/>
          <w:color w:val="000000"/>
          <w:sz w:val="22"/>
          <w:szCs w:val="22"/>
          <w:lang w:val="en-US"/>
        </w:rPr>
        <w:t xml:space="preserve"> “R</w:t>
      </w:r>
      <w:r>
        <w:rPr>
          <w:noProof/>
          <w:color w:val="000000"/>
          <w:sz w:val="22"/>
          <w:szCs w:val="22"/>
          <w:lang w:val="en-US"/>
        </w:rPr>
        <w:t>OE”</w:t>
      </w:r>
      <w:r w:rsidRPr="00DE21F5">
        <w:rPr>
          <w:noProof/>
          <w:color w:val="000000"/>
          <w:sz w:val="22"/>
          <w:szCs w:val="22"/>
          <w:lang w:val="en-US"/>
        </w:rPr>
        <w:t xml:space="preserve"> in </w:t>
      </w:r>
      <w:r w:rsidR="002A6EA8">
        <w:rPr>
          <w:noProof/>
          <w:color w:val="000000"/>
          <w:sz w:val="22"/>
          <w:szCs w:val="22"/>
          <w:lang w:val="en-US"/>
        </w:rPr>
        <w:t>the reporting period</w:t>
      </w:r>
      <w:r w:rsidRPr="00DE21F5">
        <w:rPr>
          <w:noProof/>
          <w:color w:val="000000"/>
          <w:sz w:val="22"/>
          <w:szCs w:val="22"/>
          <w:lang w:val="en-US"/>
        </w:rPr>
        <w:t xml:space="preserve"> compared with </w:t>
      </w:r>
      <w:r w:rsidR="002A6EA8">
        <w:rPr>
          <w:noProof/>
          <w:color w:val="000000"/>
          <w:sz w:val="22"/>
          <w:szCs w:val="22"/>
          <w:lang w:val="en-US"/>
        </w:rPr>
        <w:t>the same period of 2011</w:t>
      </w:r>
      <w:r w:rsidRPr="00DE21F5">
        <w:rPr>
          <w:noProof/>
          <w:color w:val="000000"/>
          <w:sz w:val="22"/>
          <w:szCs w:val="22"/>
          <w:lang w:val="en-US"/>
        </w:rPr>
        <w:t xml:space="preserve"> </w:t>
      </w:r>
      <w:r>
        <w:rPr>
          <w:noProof/>
          <w:color w:val="000000"/>
          <w:sz w:val="22"/>
          <w:szCs w:val="22"/>
          <w:lang w:val="en-US"/>
        </w:rPr>
        <w:t>has been</w:t>
      </w:r>
      <w:r w:rsidRPr="00DE21F5">
        <w:rPr>
          <w:noProof/>
          <w:color w:val="000000"/>
          <w:sz w:val="22"/>
          <w:szCs w:val="22"/>
          <w:lang w:val="en-US"/>
        </w:rPr>
        <w:t xml:space="preserve"> influenced</w:t>
      </w:r>
      <w:r>
        <w:rPr>
          <w:noProof/>
          <w:color w:val="000000"/>
          <w:sz w:val="22"/>
          <w:szCs w:val="22"/>
          <w:lang w:val="en-US"/>
        </w:rPr>
        <w:t xml:space="preserve"> by the factors of adjustment of</w:t>
      </w:r>
      <w:r w:rsidRPr="00DE21F5">
        <w:rPr>
          <w:noProof/>
          <w:color w:val="000000"/>
          <w:sz w:val="22"/>
          <w:szCs w:val="22"/>
          <w:lang w:val="en-US"/>
        </w:rPr>
        <w:t xml:space="preserve"> the consolidated net profit.</w:t>
      </w:r>
    </w:p>
    <w:p w:rsidR="00CC41E1" w:rsidRPr="00334790" w:rsidRDefault="00CC41E1" w:rsidP="003A1285">
      <w:pPr>
        <w:tabs>
          <w:tab w:val="left" w:pos="426"/>
          <w:tab w:val="left" w:pos="993"/>
        </w:tabs>
        <w:autoSpaceDE w:val="0"/>
        <w:autoSpaceDN w:val="0"/>
        <w:adjustRightInd w:val="0"/>
        <w:ind w:left="-709" w:firstLine="709"/>
        <w:jc w:val="both"/>
        <w:rPr>
          <w:noProof/>
          <w:color w:val="000000"/>
          <w:sz w:val="22"/>
          <w:szCs w:val="22"/>
          <w:lang w:val="en-US"/>
        </w:rPr>
      </w:pPr>
    </w:p>
    <w:p w:rsidR="00A41C72" w:rsidRPr="00334790" w:rsidRDefault="00A41C72" w:rsidP="003A1285">
      <w:pPr>
        <w:tabs>
          <w:tab w:val="left" w:pos="426"/>
          <w:tab w:val="left" w:pos="993"/>
        </w:tabs>
        <w:autoSpaceDE w:val="0"/>
        <w:autoSpaceDN w:val="0"/>
        <w:adjustRightInd w:val="0"/>
        <w:ind w:left="-709" w:firstLine="709"/>
        <w:jc w:val="both"/>
        <w:rPr>
          <w:noProof/>
          <w:color w:val="000000"/>
          <w:sz w:val="22"/>
          <w:szCs w:val="22"/>
          <w:lang w:val="en-US"/>
        </w:rPr>
      </w:pPr>
    </w:p>
    <w:p w:rsidR="00A41C72" w:rsidRPr="00334790" w:rsidRDefault="00A41C72" w:rsidP="003A1285">
      <w:pPr>
        <w:tabs>
          <w:tab w:val="left" w:pos="426"/>
          <w:tab w:val="left" w:pos="993"/>
        </w:tabs>
        <w:autoSpaceDE w:val="0"/>
        <w:autoSpaceDN w:val="0"/>
        <w:adjustRightInd w:val="0"/>
        <w:ind w:left="-709" w:firstLine="709"/>
        <w:jc w:val="both"/>
        <w:rPr>
          <w:noProof/>
          <w:color w:val="000000"/>
          <w:sz w:val="22"/>
          <w:szCs w:val="22"/>
          <w:lang w:val="en-US"/>
        </w:rPr>
      </w:pPr>
    </w:p>
    <w:p w:rsidR="003A1285" w:rsidRPr="00911765" w:rsidRDefault="003A1285" w:rsidP="003A1285">
      <w:pPr>
        <w:pStyle w:val="a3"/>
        <w:numPr>
          <w:ilvl w:val="1"/>
          <w:numId w:val="2"/>
        </w:numPr>
        <w:tabs>
          <w:tab w:val="left" w:pos="426"/>
          <w:tab w:val="left" w:pos="993"/>
        </w:tabs>
        <w:autoSpaceDE w:val="0"/>
        <w:autoSpaceDN w:val="0"/>
        <w:adjustRightInd w:val="0"/>
        <w:jc w:val="both"/>
        <w:rPr>
          <w:bCs/>
          <w:color w:val="FF0000"/>
          <w:sz w:val="20"/>
          <w:szCs w:val="20"/>
          <w:lang w:val="en-US"/>
        </w:rPr>
      </w:pPr>
      <w:r w:rsidRPr="00E907B5">
        <w:rPr>
          <w:b/>
          <w:bCs/>
          <w:color w:val="000000"/>
          <w:sz w:val="22"/>
          <w:szCs w:val="22"/>
          <w:lang w:val="en-US"/>
        </w:rPr>
        <w:t>Consolidated financial indicators without the STB</w:t>
      </w:r>
    </w:p>
    <w:p w:rsidR="00911765" w:rsidRPr="00E907B5" w:rsidRDefault="00911765" w:rsidP="00911765">
      <w:pPr>
        <w:pStyle w:val="a3"/>
        <w:tabs>
          <w:tab w:val="left" w:pos="426"/>
          <w:tab w:val="left" w:pos="993"/>
        </w:tabs>
        <w:autoSpaceDE w:val="0"/>
        <w:autoSpaceDN w:val="0"/>
        <w:adjustRightInd w:val="0"/>
        <w:ind w:left="1207"/>
        <w:jc w:val="both"/>
        <w:rPr>
          <w:bCs/>
          <w:color w:val="FF0000"/>
          <w:sz w:val="20"/>
          <w:szCs w:val="20"/>
          <w:lang w:val="en-US"/>
        </w:rPr>
      </w:pPr>
    </w:p>
    <w:p w:rsidR="00CC41E1" w:rsidRDefault="00CC41E1" w:rsidP="003A1285">
      <w:pPr>
        <w:ind w:left="-709" w:firstLine="709"/>
        <w:rPr>
          <w:sz w:val="22"/>
          <w:szCs w:val="22"/>
          <w:lang w:val="en-US"/>
        </w:rPr>
      </w:pPr>
      <w:r w:rsidRPr="00CC41E1">
        <w:rPr>
          <w:sz w:val="22"/>
          <w:szCs w:val="22"/>
          <w:lang w:val="en-US"/>
        </w:rPr>
        <w:t xml:space="preserve">In </w:t>
      </w:r>
      <w:r>
        <w:rPr>
          <w:sz w:val="22"/>
          <w:szCs w:val="22"/>
          <w:lang w:val="en-US"/>
        </w:rPr>
        <w:t>compliance with the L</w:t>
      </w:r>
      <w:r w:rsidRPr="00CC41E1">
        <w:rPr>
          <w:sz w:val="22"/>
          <w:szCs w:val="22"/>
          <w:lang w:val="en-US"/>
        </w:rPr>
        <w:t>aw</w:t>
      </w:r>
      <w:r>
        <w:rPr>
          <w:sz w:val="22"/>
          <w:szCs w:val="22"/>
          <w:lang w:val="en-US"/>
        </w:rPr>
        <w:t xml:space="preserve"> on the Fund, the</w:t>
      </w:r>
      <w:r w:rsidRPr="00CC41E1">
        <w:rPr>
          <w:sz w:val="22"/>
          <w:szCs w:val="22"/>
          <w:lang w:val="en-US"/>
        </w:rPr>
        <w:t xml:space="preserve"> second-tier banks (STB) are not included in the group of the Fund in connection with </w:t>
      </w:r>
      <w:r>
        <w:rPr>
          <w:sz w:val="22"/>
          <w:szCs w:val="22"/>
          <w:lang w:val="en-US"/>
        </w:rPr>
        <w:t>which the</w:t>
      </w:r>
      <w:r w:rsidRPr="00CC41E1">
        <w:rPr>
          <w:sz w:val="22"/>
          <w:szCs w:val="22"/>
          <w:lang w:val="en-US"/>
        </w:rPr>
        <w:t xml:space="preserve"> information on the consolidated financial results </w:t>
      </w:r>
      <w:r>
        <w:rPr>
          <w:sz w:val="22"/>
          <w:szCs w:val="22"/>
          <w:lang w:val="en-US"/>
        </w:rPr>
        <w:t xml:space="preserve">is given without the </w:t>
      </w:r>
      <w:r w:rsidRPr="00CC41E1">
        <w:rPr>
          <w:sz w:val="22"/>
          <w:szCs w:val="22"/>
          <w:lang w:val="en-US"/>
        </w:rPr>
        <w:t>STB.</w:t>
      </w:r>
    </w:p>
    <w:p w:rsidR="003A1285" w:rsidRPr="00E907B5" w:rsidRDefault="003A1285" w:rsidP="003A1285">
      <w:pPr>
        <w:ind w:left="-709" w:firstLine="709"/>
        <w:rPr>
          <w:sz w:val="22"/>
          <w:szCs w:val="22"/>
          <w:lang w:val="en-US"/>
        </w:rPr>
      </w:pPr>
      <w:r w:rsidRPr="00E907B5">
        <w:rPr>
          <w:sz w:val="22"/>
          <w:szCs w:val="22"/>
          <w:lang w:val="en-US"/>
        </w:rPr>
        <w:t>During the consolidation and evaluation of financial indicators without Commercial Banks the following approvals have been made:</w:t>
      </w:r>
    </w:p>
    <w:p w:rsidR="003A1285" w:rsidRPr="00E907B5" w:rsidRDefault="00CC41E1" w:rsidP="003A1285">
      <w:pPr>
        <w:pStyle w:val="a3"/>
        <w:numPr>
          <w:ilvl w:val="0"/>
          <w:numId w:val="26"/>
        </w:numPr>
        <w:tabs>
          <w:tab w:val="left" w:pos="284"/>
        </w:tabs>
        <w:ind w:left="-709" w:firstLine="709"/>
        <w:rPr>
          <w:sz w:val="22"/>
          <w:szCs w:val="22"/>
          <w:lang w:val="en-US"/>
        </w:rPr>
      </w:pPr>
      <w:r>
        <w:rPr>
          <w:sz w:val="22"/>
          <w:szCs w:val="22"/>
          <w:lang w:val="en-US"/>
        </w:rPr>
        <w:lastRenderedPageBreak/>
        <w:t>It was n</w:t>
      </w:r>
      <w:r w:rsidR="003A1285" w:rsidRPr="00E907B5">
        <w:rPr>
          <w:sz w:val="22"/>
          <w:szCs w:val="22"/>
          <w:lang w:val="en-US"/>
        </w:rPr>
        <w:t xml:space="preserve">ot carried out consolidation of data of </w:t>
      </w:r>
      <w:r>
        <w:rPr>
          <w:sz w:val="22"/>
          <w:szCs w:val="22"/>
          <w:lang w:val="en-US"/>
        </w:rPr>
        <w:t>subsidiary banks “BTA Bank” JSC (</w:t>
      </w:r>
      <w:r w:rsidR="003A1285" w:rsidRPr="00E907B5">
        <w:rPr>
          <w:sz w:val="22"/>
          <w:szCs w:val="22"/>
          <w:lang w:val="en-US"/>
        </w:rPr>
        <w:t>BTA</w:t>
      </w:r>
      <w:r>
        <w:rPr>
          <w:sz w:val="22"/>
          <w:szCs w:val="22"/>
          <w:lang w:val="en-US"/>
        </w:rPr>
        <w:t>);</w:t>
      </w:r>
      <w:r w:rsidR="003A1285" w:rsidRPr="00E907B5">
        <w:rPr>
          <w:sz w:val="22"/>
          <w:szCs w:val="22"/>
          <w:lang w:val="en-US"/>
        </w:rPr>
        <w:t xml:space="preserve"> </w:t>
      </w:r>
      <w:r>
        <w:rPr>
          <w:sz w:val="22"/>
          <w:szCs w:val="22"/>
          <w:lang w:val="en-US"/>
        </w:rPr>
        <w:t>“Alliance Bank” JSC (</w:t>
      </w:r>
      <w:r w:rsidR="003A1285" w:rsidRPr="00E907B5">
        <w:rPr>
          <w:sz w:val="22"/>
          <w:szCs w:val="22"/>
          <w:lang w:val="en-US"/>
        </w:rPr>
        <w:t>ALB</w:t>
      </w:r>
      <w:r>
        <w:rPr>
          <w:sz w:val="22"/>
          <w:szCs w:val="22"/>
          <w:lang w:val="en-US"/>
        </w:rPr>
        <w:t>);</w:t>
      </w:r>
      <w:r w:rsidR="003A1285" w:rsidRPr="00E907B5">
        <w:rPr>
          <w:sz w:val="22"/>
          <w:szCs w:val="22"/>
          <w:lang w:val="en-US"/>
        </w:rPr>
        <w:t xml:space="preserve"> </w:t>
      </w:r>
      <w:r>
        <w:rPr>
          <w:sz w:val="22"/>
          <w:szCs w:val="22"/>
          <w:lang w:val="en-US"/>
        </w:rPr>
        <w:t xml:space="preserve"> “</w:t>
      </w:r>
      <w:proofErr w:type="spellStart"/>
      <w:r>
        <w:rPr>
          <w:sz w:val="22"/>
          <w:szCs w:val="22"/>
          <w:lang w:val="en-US"/>
        </w:rPr>
        <w:t>Temirbank</w:t>
      </w:r>
      <w:proofErr w:type="spellEnd"/>
      <w:r>
        <w:rPr>
          <w:sz w:val="22"/>
          <w:szCs w:val="22"/>
          <w:lang w:val="en-US"/>
        </w:rPr>
        <w:t>” JSC (</w:t>
      </w:r>
      <w:r w:rsidR="003A1285" w:rsidRPr="00E907B5">
        <w:rPr>
          <w:sz w:val="22"/>
          <w:szCs w:val="22"/>
          <w:lang w:val="en-US"/>
        </w:rPr>
        <w:t>TMB</w:t>
      </w:r>
      <w:r>
        <w:rPr>
          <w:sz w:val="22"/>
          <w:szCs w:val="22"/>
          <w:lang w:val="en-US"/>
        </w:rPr>
        <w:t>)</w:t>
      </w:r>
      <w:r w:rsidR="003A1285" w:rsidRPr="00E907B5">
        <w:rPr>
          <w:sz w:val="22"/>
          <w:szCs w:val="22"/>
          <w:lang w:val="en-US"/>
        </w:rPr>
        <w:t>;</w:t>
      </w:r>
    </w:p>
    <w:p w:rsidR="003A1285" w:rsidRPr="00E907B5" w:rsidRDefault="00CC41E1" w:rsidP="003A1285">
      <w:pPr>
        <w:pStyle w:val="a3"/>
        <w:numPr>
          <w:ilvl w:val="0"/>
          <w:numId w:val="26"/>
        </w:numPr>
        <w:tabs>
          <w:tab w:val="left" w:pos="284"/>
        </w:tabs>
        <w:ind w:left="-709" w:firstLine="709"/>
        <w:rPr>
          <w:sz w:val="22"/>
          <w:szCs w:val="22"/>
          <w:lang w:val="en-US"/>
        </w:rPr>
      </w:pPr>
      <w:r>
        <w:rPr>
          <w:sz w:val="22"/>
          <w:szCs w:val="22"/>
          <w:lang w:val="en-US"/>
        </w:rPr>
        <w:t>There were e</w:t>
      </w:r>
      <w:r w:rsidR="003A1285" w:rsidRPr="00E907B5">
        <w:rPr>
          <w:sz w:val="22"/>
          <w:szCs w:val="22"/>
          <w:lang w:val="en-US"/>
        </w:rPr>
        <w:t xml:space="preserve">xcluded </w:t>
      </w:r>
      <w:r>
        <w:rPr>
          <w:sz w:val="22"/>
          <w:szCs w:val="22"/>
          <w:lang w:val="en-US"/>
        </w:rPr>
        <w:t>one-off non-operating</w:t>
      </w:r>
      <w:r w:rsidR="003A1285" w:rsidRPr="00E907B5">
        <w:rPr>
          <w:sz w:val="22"/>
          <w:szCs w:val="22"/>
          <w:lang w:val="en-US"/>
        </w:rPr>
        <w:t xml:space="preserve"> income of </w:t>
      </w:r>
      <w:r>
        <w:rPr>
          <w:sz w:val="22"/>
          <w:szCs w:val="22"/>
          <w:lang w:val="en-US"/>
        </w:rPr>
        <w:t xml:space="preserve">the Fund from </w:t>
      </w:r>
      <w:r w:rsidR="003A1285" w:rsidRPr="00E907B5">
        <w:rPr>
          <w:sz w:val="22"/>
          <w:szCs w:val="22"/>
          <w:lang w:val="en-US"/>
        </w:rPr>
        <w:t xml:space="preserve">these banks (BTA, ALB, and TMB), such as </w:t>
      </w:r>
      <w:r>
        <w:rPr>
          <w:sz w:val="22"/>
          <w:szCs w:val="22"/>
          <w:lang w:val="en-US"/>
        </w:rPr>
        <w:t xml:space="preserve">net </w:t>
      </w:r>
      <w:r w:rsidR="003A1285" w:rsidRPr="00E907B5">
        <w:rPr>
          <w:sz w:val="22"/>
          <w:szCs w:val="22"/>
          <w:lang w:val="en-US"/>
        </w:rPr>
        <w:t xml:space="preserve">income from discount </w:t>
      </w:r>
      <w:r>
        <w:rPr>
          <w:sz w:val="22"/>
          <w:szCs w:val="22"/>
          <w:lang w:val="en-US"/>
        </w:rPr>
        <w:t>of rate swaps</w:t>
      </w:r>
      <w:r w:rsidR="003A1285" w:rsidRPr="00E907B5">
        <w:rPr>
          <w:sz w:val="22"/>
          <w:szCs w:val="22"/>
          <w:lang w:val="en-US"/>
        </w:rPr>
        <w:t xml:space="preserve"> and  from conversion of bonds</w:t>
      </w:r>
      <w:r>
        <w:rPr>
          <w:sz w:val="22"/>
          <w:szCs w:val="22"/>
          <w:lang w:val="en-US"/>
        </w:rPr>
        <w:t xml:space="preserve"> in capital</w:t>
      </w:r>
      <w:r w:rsidR="003A1285" w:rsidRPr="00E907B5">
        <w:rPr>
          <w:sz w:val="22"/>
          <w:szCs w:val="22"/>
          <w:lang w:val="en-US"/>
        </w:rPr>
        <w:t>;</w:t>
      </w:r>
    </w:p>
    <w:p w:rsidR="003A1285" w:rsidRPr="00E907B5" w:rsidRDefault="00CC41E1" w:rsidP="003A1285">
      <w:pPr>
        <w:pStyle w:val="a3"/>
        <w:numPr>
          <w:ilvl w:val="0"/>
          <w:numId w:val="26"/>
        </w:numPr>
        <w:tabs>
          <w:tab w:val="left" w:pos="284"/>
        </w:tabs>
        <w:ind w:left="-709" w:firstLine="709"/>
        <w:rPr>
          <w:sz w:val="22"/>
          <w:szCs w:val="22"/>
          <w:lang w:val="en-US"/>
        </w:rPr>
      </w:pPr>
      <w:r>
        <w:rPr>
          <w:sz w:val="22"/>
          <w:szCs w:val="22"/>
          <w:lang w:val="en-US"/>
        </w:rPr>
        <w:t>It was not reflected the share income of Halyk</w:t>
      </w:r>
      <w:r w:rsidR="003A1285" w:rsidRPr="00E907B5">
        <w:rPr>
          <w:sz w:val="22"/>
          <w:szCs w:val="22"/>
          <w:lang w:val="en-US"/>
        </w:rPr>
        <w:t xml:space="preserve"> Bank</w:t>
      </w:r>
      <w:r>
        <w:rPr>
          <w:sz w:val="22"/>
          <w:szCs w:val="22"/>
          <w:lang w:val="en-US"/>
        </w:rPr>
        <w:t xml:space="preserve"> (HB)</w:t>
      </w:r>
      <w:r w:rsidR="003A1285" w:rsidRPr="00E907B5">
        <w:rPr>
          <w:sz w:val="22"/>
          <w:szCs w:val="22"/>
          <w:lang w:val="en-US"/>
        </w:rPr>
        <w:t xml:space="preserve"> and Kazkommertsbank </w:t>
      </w:r>
      <w:r w:rsidR="00634B03">
        <w:rPr>
          <w:sz w:val="22"/>
          <w:szCs w:val="22"/>
          <w:lang w:val="en-US"/>
        </w:rPr>
        <w:t>(</w:t>
      </w:r>
      <w:r w:rsidR="00634B03" w:rsidRPr="00E907B5">
        <w:rPr>
          <w:sz w:val="22"/>
          <w:szCs w:val="22"/>
          <w:lang w:val="en-US"/>
        </w:rPr>
        <w:t>KKB</w:t>
      </w:r>
      <w:r w:rsidR="00634B03">
        <w:rPr>
          <w:sz w:val="22"/>
          <w:szCs w:val="22"/>
          <w:lang w:val="en-US"/>
        </w:rPr>
        <w:t xml:space="preserve">) </w:t>
      </w:r>
      <w:r w:rsidR="003A1285" w:rsidRPr="00E907B5">
        <w:rPr>
          <w:sz w:val="22"/>
          <w:szCs w:val="22"/>
          <w:lang w:val="en-US"/>
        </w:rPr>
        <w:t>in 2009-2010</w:t>
      </w:r>
      <w:r w:rsidR="00154CB4">
        <w:rPr>
          <w:sz w:val="22"/>
          <w:szCs w:val="22"/>
          <w:lang w:val="en-US"/>
        </w:rPr>
        <w:t xml:space="preserve"> when these banks were the associated organizations of the Group</w:t>
      </w:r>
      <w:r w:rsidR="003A1285" w:rsidRPr="00E907B5">
        <w:rPr>
          <w:sz w:val="22"/>
          <w:szCs w:val="22"/>
          <w:lang w:val="en-US"/>
        </w:rPr>
        <w:t>;</w:t>
      </w:r>
    </w:p>
    <w:p w:rsidR="003A1285" w:rsidRPr="00E907B5" w:rsidRDefault="00154CB4" w:rsidP="003A1285">
      <w:pPr>
        <w:pStyle w:val="a3"/>
        <w:numPr>
          <w:ilvl w:val="0"/>
          <w:numId w:val="26"/>
        </w:numPr>
        <w:tabs>
          <w:tab w:val="left" w:pos="284"/>
        </w:tabs>
        <w:ind w:left="-709" w:firstLine="709"/>
        <w:rPr>
          <w:sz w:val="22"/>
          <w:szCs w:val="22"/>
          <w:lang w:val="en-US"/>
        </w:rPr>
      </w:pPr>
      <w:r>
        <w:rPr>
          <w:sz w:val="22"/>
          <w:szCs w:val="22"/>
          <w:lang w:val="en-US"/>
        </w:rPr>
        <w:t>It is e</w:t>
      </w:r>
      <w:r w:rsidR="003A1285" w:rsidRPr="00E907B5">
        <w:rPr>
          <w:sz w:val="22"/>
          <w:szCs w:val="22"/>
          <w:lang w:val="en-US"/>
        </w:rPr>
        <w:t xml:space="preserve">xcluded recognition and overvaluation of </w:t>
      </w:r>
      <w:r>
        <w:rPr>
          <w:sz w:val="22"/>
          <w:szCs w:val="22"/>
          <w:lang w:val="en-US"/>
        </w:rPr>
        <w:t xml:space="preserve">call and put </w:t>
      </w:r>
      <w:r w:rsidR="003A1285" w:rsidRPr="00E907B5">
        <w:rPr>
          <w:sz w:val="22"/>
          <w:szCs w:val="22"/>
          <w:lang w:val="en-US"/>
        </w:rPr>
        <w:t xml:space="preserve">options </w:t>
      </w:r>
      <w:r>
        <w:rPr>
          <w:sz w:val="22"/>
          <w:szCs w:val="22"/>
          <w:lang w:val="en-US"/>
        </w:rPr>
        <w:t xml:space="preserve">through income/loss </w:t>
      </w:r>
      <w:r w:rsidR="003A1285" w:rsidRPr="00E907B5">
        <w:rPr>
          <w:sz w:val="22"/>
          <w:szCs w:val="22"/>
          <w:lang w:val="en-US"/>
        </w:rPr>
        <w:t xml:space="preserve">on the shares of </w:t>
      </w:r>
      <w:r>
        <w:rPr>
          <w:sz w:val="22"/>
          <w:szCs w:val="22"/>
          <w:lang w:val="en-US"/>
        </w:rPr>
        <w:t>H</w:t>
      </w:r>
      <w:r w:rsidR="003A1285" w:rsidRPr="00E907B5">
        <w:rPr>
          <w:sz w:val="22"/>
          <w:szCs w:val="22"/>
          <w:lang w:val="en-US"/>
        </w:rPr>
        <w:t>B and KKB;</w:t>
      </w:r>
    </w:p>
    <w:p w:rsidR="003A1285" w:rsidRPr="00E907B5" w:rsidRDefault="003A1285" w:rsidP="003A1285">
      <w:pPr>
        <w:pStyle w:val="a3"/>
        <w:numPr>
          <w:ilvl w:val="0"/>
          <w:numId w:val="26"/>
        </w:numPr>
        <w:tabs>
          <w:tab w:val="left" w:pos="284"/>
        </w:tabs>
        <w:ind w:left="-709" w:firstLine="709"/>
        <w:rPr>
          <w:sz w:val="22"/>
          <w:szCs w:val="22"/>
          <w:lang w:val="en-US"/>
        </w:rPr>
      </w:pPr>
      <w:r w:rsidRPr="00E907B5">
        <w:rPr>
          <w:sz w:val="22"/>
          <w:szCs w:val="22"/>
          <w:lang w:val="en-US"/>
        </w:rPr>
        <w:t xml:space="preserve">All profits and expenses, also assets and liabilities of other companies </w:t>
      </w:r>
      <w:r w:rsidR="00634B03">
        <w:rPr>
          <w:sz w:val="22"/>
          <w:szCs w:val="22"/>
          <w:lang w:val="en-US"/>
        </w:rPr>
        <w:t>of the group</w:t>
      </w:r>
      <w:r w:rsidRPr="00E907B5">
        <w:rPr>
          <w:sz w:val="22"/>
          <w:szCs w:val="22"/>
          <w:lang w:val="en-US"/>
        </w:rPr>
        <w:t xml:space="preserve"> of these Commercial Banks</w:t>
      </w:r>
      <w:r w:rsidR="00634B03">
        <w:rPr>
          <w:sz w:val="22"/>
          <w:szCs w:val="22"/>
          <w:lang w:val="en-US"/>
        </w:rPr>
        <w:t>,</w:t>
      </w:r>
      <w:r w:rsidRPr="00E907B5">
        <w:rPr>
          <w:sz w:val="22"/>
          <w:szCs w:val="22"/>
          <w:lang w:val="en-US"/>
        </w:rPr>
        <w:t xml:space="preserve"> </w:t>
      </w:r>
      <w:r w:rsidR="00634B03" w:rsidRPr="00E907B5">
        <w:rPr>
          <w:sz w:val="22"/>
          <w:szCs w:val="22"/>
          <w:lang w:val="en-US"/>
        </w:rPr>
        <w:t xml:space="preserve">who were eliminated </w:t>
      </w:r>
      <w:r w:rsidR="00634B03">
        <w:rPr>
          <w:sz w:val="22"/>
          <w:szCs w:val="22"/>
          <w:lang w:val="en-US"/>
        </w:rPr>
        <w:t>as intra-group ones,</w:t>
      </w:r>
      <w:r w:rsidR="00634B03" w:rsidRPr="00E907B5">
        <w:rPr>
          <w:sz w:val="22"/>
          <w:szCs w:val="22"/>
          <w:lang w:val="en-US"/>
        </w:rPr>
        <w:t xml:space="preserve"> </w:t>
      </w:r>
      <w:r w:rsidRPr="00E907B5">
        <w:rPr>
          <w:sz w:val="22"/>
          <w:szCs w:val="22"/>
          <w:lang w:val="en-US"/>
        </w:rPr>
        <w:t xml:space="preserve">remained </w:t>
      </w:r>
      <w:r w:rsidR="00634B03">
        <w:rPr>
          <w:sz w:val="22"/>
          <w:szCs w:val="22"/>
          <w:lang w:val="en-US"/>
        </w:rPr>
        <w:t>as external</w:t>
      </w:r>
      <w:r w:rsidRPr="00E907B5">
        <w:rPr>
          <w:sz w:val="22"/>
          <w:szCs w:val="22"/>
          <w:lang w:val="en-US"/>
        </w:rPr>
        <w:t>;</w:t>
      </w:r>
    </w:p>
    <w:p w:rsidR="003A1285" w:rsidRPr="00E907B5" w:rsidRDefault="003A1285" w:rsidP="003A1285">
      <w:pPr>
        <w:pStyle w:val="a3"/>
        <w:numPr>
          <w:ilvl w:val="0"/>
          <w:numId w:val="26"/>
        </w:numPr>
        <w:tabs>
          <w:tab w:val="left" w:pos="284"/>
        </w:tabs>
        <w:ind w:left="-709" w:firstLine="709"/>
        <w:rPr>
          <w:sz w:val="22"/>
          <w:szCs w:val="22"/>
          <w:lang w:val="en-US"/>
        </w:rPr>
      </w:pPr>
      <w:r w:rsidRPr="00E907B5">
        <w:rPr>
          <w:sz w:val="22"/>
          <w:szCs w:val="22"/>
          <w:lang w:val="en-US"/>
        </w:rPr>
        <w:t xml:space="preserve">Losses from devaluation of investments with BTA and ALB excluded from report of total income, and moved </w:t>
      </w:r>
      <w:r w:rsidR="00634B03" w:rsidRPr="00E907B5">
        <w:rPr>
          <w:sz w:val="22"/>
          <w:szCs w:val="22"/>
          <w:lang w:val="en-US"/>
        </w:rPr>
        <w:t xml:space="preserve">directly </w:t>
      </w:r>
      <w:r w:rsidRPr="00E907B5">
        <w:rPr>
          <w:sz w:val="22"/>
          <w:szCs w:val="22"/>
          <w:lang w:val="en-US"/>
        </w:rPr>
        <w:t xml:space="preserve">into </w:t>
      </w:r>
      <w:r w:rsidR="00634B03" w:rsidRPr="00E907B5">
        <w:rPr>
          <w:sz w:val="22"/>
          <w:szCs w:val="22"/>
          <w:lang w:val="en-US"/>
        </w:rPr>
        <w:t xml:space="preserve">retained earnings </w:t>
      </w:r>
      <w:r w:rsidR="00634B03">
        <w:rPr>
          <w:sz w:val="22"/>
          <w:szCs w:val="22"/>
          <w:lang w:val="en-US"/>
        </w:rPr>
        <w:t xml:space="preserve">in the </w:t>
      </w:r>
      <w:r w:rsidRPr="00E907B5">
        <w:rPr>
          <w:sz w:val="22"/>
          <w:szCs w:val="22"/>
          <w:lang w:val="en-US"/>
        </w:rPr>
        <w:t xml:space="preserve">capital </w:t>
      </w:r>
      <w:r w:rsidR="00634B03">
        <w:rPr>
          <w:sz w:val="22"/>
          <w:szCs w:val="22"/>
          <w:lang w:val="en-US"/>
        </w:rPr>
        <w:t>statement.</w:t>
      </w:r>
      <w:r w:rsidRPr="00E907B5">
        <w:rPr>
          <w:sz w:val="22"/>
          <w:szCs w:val="22"/>
          <w:lang w:val="en-US"/>
        </w:rPr>
        <w:t xml:space="preserve"> </w:t>
      </w:r>
    </w:p>
    <w:p w:rsidR="003A1285" w:rsidRPr="00334790" w:rsidRDefault="003A1285" w:rsidP="003A1285">
      <w:pPr>
        <w:pStyle w:val="a3"/>
        <w:tabs>
          <w:tab w:val="left" w:pos="426"/>
          <w:tab w:val="left" w:pos="993"/>
        </w:tabs>
        <w:autoSpaceDE w:val="0"/>
        <w:autoSpaceDN w:val="0"/>
        <w:adjustRightInd w:val="0"/>
        <w:ind w:left="-709" w:firstLine="709"/>
        <w:jc w:val="both"/>
        <w:rPr>
          <w:b/>
          <w:bCs/>
          <w:color w:val="000000"/>
          <w:sz w:val="22"/>
          <w:szCs w:val="22"/>
          <w:lang w:val="en-US"/>
        </w:rPr>
      </w:pPr>
    </w:p>
    <w:p w:rsidR="00911765" w:rsidRPr="00334790" w:rsidRDefault="00911765" w:rsidP="003A1285">
      <w:pPr>
        <w:pStyle w:val="a3"/>
        <w:tabs>
          <w:tab w:val="left" w:pos="426"/>
          <w:tab w:val="left" w:pos="993"/>
        </w:tabs>
        <w:autoSpaceDE w:val="0"/>
        <w:autoSpaceDN w:val="0"/>
        <w:adjustRightInd w:val="0"/>
        <w:ind w:left="-709" w:firstLine="709"/>
        <w:jc w:val="both"/>
        <w:rPr>
          <w:b/>
          <w:bCs/>
          <w:color w:val="000000"/>
          <w:sz w:val="22"/>
          <w:szCs w:val="22"/>
          <w:lang w:val="en-US"/>
        </w:rPr>
      </w:pPr>
    </w:p>
    <w:tbl>
      <w:tblPr>
        <w:tblW w:w="9334" w:type="dxa"/>
        <w:tblInd w:w="-407" w:type="dxa"/>
        <w:tblLook w:val="04A0" w:firstRow="1" w:lastRow="0" w:firstColumn="1" w:lastColumn="0" w:noHBand="0" w:noVBand="1"/>
      </w:tblPr>
      <w:tblGrid>
        <w:gridCol w:w="3544"/>
        <w:gridCol w:w="1134"/>
        <w:gridCol w:w="1225"/>
        <w:gridCol w:w="1175"/>
        <w:gridCol w:w="1286"/>
        <w:gridCol w:w="970"/>
      </w:tblGrid>
      <w:tr w:rsidR="00D135B1"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5B1" w:rsidRPr="004B67E4" w:rsidRDefault="00D135B1" w:rsidP="00770BC8">
            <w:pPr>
              <w:ind w:left="-709" w:firstLine="709"/>
              <w:jc w:val="center"/>
              <w:rPr>
                <w:b/>
                <w:bCs/>
                <w:color w:val="000000"/>
                <w:sz w:val="18"/>
                <w:szCs w:val="18"/>
                <w:lang w:val="en-US"/>
              </w:rPr>
            </w:pPr>
            <w:r w:rsidRPr="004B67E4">
              <w:rPr>
                <w:b/>
                <w:bCs/>
                <w:color w:val="000000"/>
                <w:sz w:val="18"/>
                <w:szCs w:val="18"/>
                <w:lang w:val="en-US"/>
              </w:rPr>
              <w:t xml:space="preserve">Name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35B1" w:rsidRPr="004B67E4" w:rsidRDefault="00D135B1" w:rsidP="00770BC8">
            <w:pPr>
              <w:jc w:val="center"/>
              <w:rPr>
                <w:b/>
                <w:bCs/>
                <w:color w:val="000000"/>
                <w:sz w:val="18"/>
                <w:szCs w:val="18"/>
                <w:lang w:val="en-US"/>
              </w:rPr>
            </w:pPr>
            <w:r w:rsidRPr="004B67E4">
              <w:rPr>
                <w:b/>
                <w:bCs/>
                <w:color w:val="000000"/>
                <w:sz w:val="18"/>
                <w:szCs w:val="18"/>
                <w:lang w:val="en-US"/>
              </w:rPr>
              <w:t>Unit of measure</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D135B1" w:rsidRPr="00D135B1" w:rsidRDefault="00D135B1" w:rsidP="00D135B1">
            <w:pPr>
              <w:ind w:left="24"/>
              <w:jc w:val="center"/>
              <w:rPr>
                <w:b/>
                <w:bCs/>
                <w:color w:val="000000"/>
                <w:sz w:val="18"/>
                <w:szCs w:val="18"/>
                <w:lang w:val="en-US"/>
              </w:rPr>
            </w:pPr>
            <w:r w:rsidRPr="00D135B1">
              <w:rPr>
                <w:b/>
                <w:bCs/>
                <w:color w:val="000000"/>
                <w:sz w:val="18"/>
                <w:szCs w:val="18"/>
                <w:lang w:val="en-US"/>
              </w:rPr>
              <w:t>H1 2012, KZT billion</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D135B1" w:rsidRPr="00D135B1" w:rsidRDefault="00D135B1" w:rsidP="00D135B1">
            <w:pPr>
              <w:ind w:left="24"/>
              <w:jc w:val="center"/>
              <w:rPr>
                <w:b/>
                <w:bCs/>
                <w:color w:val="000000"/>
                <w:sz w:val="18"/>
                <w:szCs w:val="18"/>
                <w:lang w:val="en-US"/>
              </w:rPr>
            </w:pPr>
            <w:r w:rsidRPr="00D135B1">
              <w:rPr>
                <w:b/>
                <w:bCs/>
                <w:color w:val="000000"/>
                <w:sz w:val="18"/>
                <w:szCs w:val="18"/>
                <w:lang w:val="en-US"/>
              </w:rPr>
              <w:t>H1 201</w:t>
            </w:r>
            <w:r>
              <w:rPr>
                <w:b/>
                <w:bCs/>
                <w:color w:val="000000"/>
                <w:sz w:val="18"/>
                <w:szCs w:val="18"/>
                <w:lang w:val="en-US"/>
              </w:rPr>
              <w:t>1</w:t>
            </w:r>
            <w:r w:rsidRPr="00D135B1">
              <w:rPr>
                <w:b/>
                <w:bCs/>
                <w:color w:val="000000"/>
                <w:sz w:val="18"/>
                <w:szCs w:val="18"/>
                <w:lang w:val="en-US"/>
              </w:rPr>
              <w:t>, KZT billion</w:t>
            </w:r>
          </w:p>
        </w:tc>
        <w:tc>
          <w:tcPr>
            <w:tcW w:w="1286" w:type="dxa"/>
            <w:tcBorders>
              <w:top w:val="single" w:sz="4" w:space="0" w:color="auto"/>
              <w:left w:val="nil"/>
              <w:bottom w:val="single" w:sz="4" w:space="0" w:color="auto"/>
              <w:right w:val="single" w:sz="4" w:space="0" w:color="auto"/>
            </w:tcBorders>
            <w:vAlign w:val="center"/>
          </w:tcPr>
          <w:p w:rsidR="00D135B1" w:rsidRPr="004B67E4" w:rsidRDefault="00D135B1" w:rsidP="00F72C6E">
            <w:pPr>
              <w:jc w:val="center"/>
              <w:rPr>
                <w:b/>
                <w:bCs/>
                <w:color w:val="000000"/>
                <w:sz w:val="18"/>
                <w:szCs w:val="18"/>
                <w:lang w:val="en-US"/>
              </w:rPr>
            </w:pPr>
            <w:r>
              <w:rPr>
                <w:rFonts w:eastAsia="Calibri"/>
                <w:b/>
                <w:bCs/>
                <w:color w:val="000000"/>
                <w:sz w:val="18"/>
                <w:szCs w:val="18"/>
                <w:lang w:val="en-US"/>
              </w:rPr>
              <w:t>Change</w:t>
            </w:r>
          </w:p>
        </w:tc>
        <w:tc>
          <w:tcPr>
            <w:tcW w:w="970" w:type="dxa"/>
            <w:tcBorders>
              <w:top w:val="single" w:sz="4" w:space="0" w:color="auto"/>
              <w:left w:val="single" w:sz="4" w:space="0" w:color="auto"/>
              <w:bottom w:val="single" w:sz="4" w:space="0" w:color="auto"/>
              <w:right w:val="single" w:sz="4" w:space="0" w:color="auto"/>
            </w:tcBorders>
            <w:vAlign w:val="center"/>
          </w:tcPr>
          <w:p w:rsidR="00D135B1" w:rsidRPr="004B67E4" w:rsidRDefault="00D135B1" w:rsidP="00972A2F">
            <w:pPr>
              <w:jc w:val="center"/>
              <w:rPr>
                <w:b/>
                <w:bCs/>
                <w:color w:val="000000"/>
                <w:sz w:val="18"/>
                <w:szCs w:val="18"/>
                <w:lang w:val="en-US"/>
              </w:rPr>
            </w:pPr>
            <w:r>
              <w:rPr>
                <w:b/>
                <w:bCs/>
                <w:color w:val="000000"/>
                <w:sz w:val="18"/>
                <w:szCs w:val="18"/>
                <w:lang w:val="en-US"/>
              </w:rPr>
              <w:t>H1 2012 –H1 2011</w:t>
            </w:r>
            <w:r w:rsidRPr="004B67E4">
              <w:rPr>
                <w:b/>
                <w:bCs/>
                <w:color w:val="000000"/>
                <w:sz w:val="18"/>
                <w:szCs w:val="18"/>
                <w:lang w:val="en-US"/>
              </w:rPr>
              <w:t>, in %</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lang w:val="en-US"/>
              </w:rPr>
            </w:pPr>
            <w:r w:rsidRPr="004B67E4">
              <w:rPr>
                <w:bCs/>
                <w:color w:val="000000"/>
                <w:sz w:val="18"/>
                <w:szCs w:val="18"/>
                <w:lang w:val="en-US"/>
              </w:rPr>
              <w:t xml:space="preserve">Consolidated  </w:t>
            </w:r>
            <w:r w:rsidRPr="00154CB4">
              <w:rPr>
                <w:b/>
                <w:bCs/>
                <w:color w:val="000000"/>
                <w:sz w:val="18"/>
                <w:szCs w:val="18"/>
                <w:lang w:val="en-US"/>
              </w:rPr>
              <w:t>net income</w:t>
            </w:r>
            <w:r w:rsidRPr="004B67E4">
              <w:rPr>
                <w:bCs/>
                <w:color w:val="000000"/>
                <w:sz w:val="18"/>
                <w:szCs w:val="18"/>
                <w:lang w:val="en-US"/>
              </w:rPr>
              <w:t xml:space="preserve"> without the STB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3CD4" w:rsidRPr="004B67E4" w:rsidRDefault="003E3CD4" w:rsidP="00770BC8">
            <w:pPr>
              <w:ind w:left="-709" w:firstLine="709"/>
              <w:jc w:val="center"/>
              <w:rPr>
                <w:bCs/>
                <w:color w:val="000000"/>
                <w:sz w:val="18"/>
                <w:szCs w:val="18"/>
                <w:lang w:val="en-US"/>
              </w:rPr>
            </w:pPr>
            <w:r w:rsidRPr="004B67E4">
              <w:rPr>
                <w:bCs/>
                <w:color w:val="000000"/>
                <w:sz w:val="18"/>
                <w:szCs w:val="18"/>
                <w:lang w:val="en-US"/>
              </w:rPr>
              <w:t>KZT billion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585,1</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430,8</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154,3</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35,8</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lang w:val="en-US"/>
              </w:rPr>
            </w:pPr>
            <w:r w:rsidRPr="004B67E4">
              <w:rPr>
                <w:bCs/>
                <w:color w:val="000000"/>
                <w:sz w:val="18"/>
                <w:szCs w:val="18"/>
                <w:lang w:val="en-US"/>
              </w:rPr>
              <w:t xml:space="preserve">Consolidated  </w:t>
            </w:r>
            <w:r w:rsidRPr="004B67E4">
              <w:rPr>
                <w:b/>
                <w:bCs/>
                <w:color w:val="000000"/>
                <w:sz w:val="18"/>
                <w:szCs w:val="18"/>
                <w:lang w:val="en-US"/>
              </w:rPr>
              <w:t>net income</w:t>
            </w:r>
            <w:r w:rsidRPr="004B67E4">
              <w:rPr>
                <w:bCs/>
                <w:color w:val="000000"/>
                <w:sz w:val="18"/>
                <w:szCs w:val="18"/>
                <w:lang w:val="en-US"/>
              </w:rPr>
              <w:t xml:space="preserve"> on the share of a shareholder of a parent Company without the STB</w:t>
            </w:r>
          </w:p>
        </w:tc>
        <w:tc>
          <w:tcPr>
            <w:tcW w:w="1134" w:type="dxa"/>
            <w:tcBorders>
              <w:top w:val="single" w:sz="4" w:space="0" w:color="auto"/>
              <w:left w:val="nil"/>
              <w:bottom w:val="single" w:sz="4" w:space="0" w:color="auto"/>
              <w:right w:val="single" w:sz="4" w:space="0" w:color="auto"/>
            </w:tcBorders>
            <w:shd w:val="clear" w:color="auto" w:fill="auto"/>
            <w:hideMark/>
          </w:tcPr>
          <w:p w:rsidR="003E3CD4" w:rsidRPr="004B67E4" w:rsidRDefault="003E3CD4" w:rsidP="00770BC8">
            <w:pPr>
              <w:jc w:val="center"/>
              <w:rPr>
                <w:sz w:val="18"/>
                <w:szCs w:val="18"/>
              </w:rPr>
            </w:pPr>
            <w:r w:rsidRPr="004B67E4">
              <w:rPr>
                <w:bCs/>
                <w:color w:val="000000"/>
                <w:sz w:val="18"/>
                <w:szCs w:val="18"/>
                <w:lang w:val="en-US"/>
              </w:rPr>
              <w:t>KZT billion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438,8</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371,9</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66,9</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18,0</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rPr>
            </w:pPr>
            <w:r w:rsidRPr="004B67E4">
              <w:rPr>
                <w:sz w:val="18"/>
                <w:szCs w:val="18"/>
                <w:lang w:val="en-US"/>
              </w:rPr>
              <w:t>EBITDA</w:t>
            </w:r>
            <w:r w:rsidRPr="004B67E4">
              <w:rPr>
                <w:sz w:val="18"/>
                <w:szCs w:val="18"/>
              </w:rPr>
              <w:t xml:space="preserve"> </w:t>
            </w:r>
            <w:r w:rsidRPr="004B67E4">
              <w:rPr>
                <w:bCs/>
                <w:color w:val="000000"/>
                <w:sz w:val="18"/>
                <w:szCs w:val="18"/>
                <w:lang w:val="en-US"/>
              </w:rPr>
              <w:t>without the STB</w:t>
            </w:r>
          </w:p>
        </w:tc>
        <w:tc>
          <w:tcPr>
            <w:tcW w:w="1134" w:type="dxa"/>
            <w:tcBorders>
              <w:top w:val="single" w:sz="4" w:space="0" w:color="auto"/>
              <w:left w:val="nil"/>
              <w:bottom w:val="single" w:sz="4" w:space="0" w:color="auto"/>
              <w:right w:val="single" w:sz="4" w:space="0" w:color="auto"/>
            </w:tcBorders>
            <w:shd w:val="clear" w:color="auto" w:fill="auto"/>
            <w:hideMark/>
          </w:tcPr>
          <w:p w:rsidR="003E3CD4" w:rsidRPr="004B67E4" w:rsidRDefault="003E3CD4" w:rsidP="00770BC8">
            <w:pPr>
              <w:jc w:val="center"/>
              <w:rPr>
                <w:sz w:val="18"/>
                <w:szCs w:val="18"/>
              </w:rPr>
            </w:pPr>
            <w:r w:rsidRPr="004B67E4">
              <w:rPr>
                <w:bCs/>
                <w:color w:val="000000"/>
                <w:sz w:val="18"/>
                <w:szCs w:val="18"/>
                <w:lang w:val="en-US"/>
              </w:rPr>
              <w:t>KZT billion</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435,8</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406,5</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29,3</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7,2</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sz w:val="18"/>
                <w:szCs w:val="18"/>
                <w:lang w:val="en-US"/>
              </w:rPr>
            </w:pPr>
            <w:r w:rsidRPr="004B67E4">
              <w:rPr>
                <w:sz w:val="18"/>
                <w:szCs w:val="18"/>
                <w:lang w:val="en-US"/>
              </w:rPr>
              <w:t xml:space="preserve">EBITDA  margin </w:t>
            </w:r>
            <w:r w:rsidRPr="004B67E4">
              <w:rPr>
                <w:bCs/>
                <w:color w:val="000000"/>
                <w:sz w:val="18"/>
                <w:szCs w:val="18"/>
                <w:lang w:val="en-US"/>
              </w:rPr>
              <w:t>without the STB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3CD4" w:rsidRPr="004B67E4" w:rsidRDefault="003E3CD4" w:rsidP="00770BC8">
            <w:pPr>
              <w:jc w:val="center"/>
              <w:rPr>
                <w:bCs/>
                <w:color w:val="000000"/>
                <w:sz w:val="18"/>
                <w:szCs w:val="18"/>
                <w:lang w:val="en-US"/>
              </w:rPr>
            </w:pPr>
            <w:r w:rsidRPr="004B67E4">
              <w:rPr>
                <w:bCs/>
                <w:color w:val="000000"/>
                <w:sz w:val="18"/>
                <w:szCs w:val="18"/>
              </w:rPr>
              <w:t>%</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19,5</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E3CD4" w:rsidRPr="003E3CD4" w:rsidRDefault="003E3CD4" w:rsidP="00F11A4A">
            <w:pPr>
              <w:jc w:val="center"/>
              <w:rPr>
                <w:sz w:val="18"/>
                <w:szCs w:val="18"/>
              </w:rPr>
            </w:pPr>
            <w:r w:rsidRPr="003E3CD4">
              <w:rPr>
                <w:sz w:val="18"/>
                <w:szCs w:val="18"/>
              </w:rPr>
              <w:t>20,6</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-1,1</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-5,3</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rPr>
            </w:pPr>
            <w:r w:rsidRPr="004B67E4">
              <w:rPr>
                <w:bCs/>
                <w:color w:val="000000"/>
                <w:sz w:val="18"/>
                <w:szCs w:val="18"/>
              </w:rPr>
              <w:t xml:space="preserve">ROACE </w:t>
            </w:r>
            <w:r w:rsidRPr="004B67E4">
              <w:rPr>
                <w:bCs/>
                <w:color w:val="000000"/>
                <w:sz w:val="18"/>
                <w:szCs w:val="18"/>
                <w:lang w:val="en-US"/>
              </w:rPr>
              <w:t>without the STB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3CD4" w:rsidRPr="004B67E4" w:rsidRDefault="003E3CD4" w:rsidP="00770BC8">
            <w:pPr>
              <w:jc w:val="center"/>
              <w:rPr>
                <w:bCs/>
                <w:color w:val="000000"/>
                <w:sz w:val="18"/>
                <w:szCs w:val="18"/>
              </w:rPr>
            </w:pPr>
            <w:r w:rsidRPr="004B67E4">
              <w:rPr>
                <w:bCs/>
                <w:color w:val="000000"/>
                <w:sz w:val="18"/>
                <w:szCs w:val="18"/>
              </w:rPr>
              <w:t>%</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6,9</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10,2</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-3,3</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-32,3</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rPr>
            </w:pPr>
            <w:r w:rsidRPr="004B67E4">
              <w:rPr>
                <w:bCs/>
                <w:color w:val="000000"/>
                <w:sz w:val="18"/>
                <w:szCs w:val="18"/>
              </w:rPr>
              <w:t xml:space="preserve">ROA </w:t>
            </w:r>
            <w:r w:rsidRPr="004B67E4">
              <w:rPr>
                <w:bCs/>
                <w:color w:val="000000"/>
                <w:sz w:val="18"/>
                <w:szCs w:val="18"/>
                <w:lang w:val="en-US"/>
              </w:rPr>
              <w:t>without the STB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3CD4" w:rsidRPr="004B67E4" w:rsidRDefault="003E3CD4" w:rsidP="00770BC8">
            <w:pPr>
              <w:jc w:val="center"/>
              <w:rPr>
                <w:bCs/>
                <w:color w:val="000000"/>
                <w:sz w:val="18"/>
                <w:szCs w:val="18"/>
              </w:rPr>
            </w:pPr>
            <w:r w:rsidRPr="004B67E4">
              <w:rPr>
                <w:bCs/>
                <w:color w:val="000000"/>
                <w:sz w:val="18"/>
                <w:szCs w:val="18"/>
              </w:rPr>
              <w:t>%</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4,8</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3,8</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1,0</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26,4</w:t>
            </w:r>
          </w:p>
        </w:tc>
      </w:tr>
      <w:tr w:rsidR="003E3CD4" w:rsidRPr="004B67E4" w:rsidTr="000E2F90">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3CD4" w:rsidRPr="004B67E4" w:rsidRDefault="003E3CD4" w:rsidP="00770BC8">
            <w:pPr>
              <w:rPr>
                <w:bCs/>
                <w:color w:val="000000"/>
                <w:sz w:val="18"/>
                <w:szCs w:val="18"/>
              </w:rPr>
            </w:pPr>
            <w:r w:rsidRPr="004B67E4">
              <w:rPr>
                <w:bCs/>
                <w:color w:val="000000"/>
                <w:sz w:val="18"/>
                <w:szCs w:val="18"/>
              </w:rPr>
              <w:t xml:space="preserve">ROE </w:t>
            </w:r>
            <w:r w:rsidRPr="004B67E4">
              <w:rPr>
                <w:bCs/>
                <w:color w:val="000000"/>
                <w:sz w:val="18"/>
                <w:szCs w:val="18"/>
                <w:lang w:val="en-US"/>
              </w:rPr>
              <w:t>without the STB</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3CD4" w:rsidRPr="004B67E4" w:rsidRDefault="003E3CD4" w:rsidP="00770BC8">
            <w:pPr>
              <w:jc w:val="center"/>
              <w:rPr>
                <w:bCs/>
                <w:color w:val="000000"/>
                <w:sz w:val="18"/>
                <w:szCs w:val="18"/>
              </w:rPr>
            </w:pPr>
            <w:r w:rsidRPr="004B67E4">
              <w:rPr>
                <w:bCs/>
                <w:color w:val="000000"/>
                <w:sz w:val="18"/>
                <w:szCs w:val="18"/>
              </w:rPr>
              <w:t>%</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9,8</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3E3CD4" w:rsidRPr="003E3CD4" w:rsidRDefault="003E3CD4" w:rsidP="00F11A4A">
            <w:pPr>
              <w:jc w:val="center"/>
              <w:rPr>
                <w:sz w:val="18"/>
                <w:szCs w:val="18"/>
              </w:rPr>
            </w:pPr>
            <w:r w:rsidRPr="003E3CD4">
              <w:rPr>
                <w:sz w:val="18"/>
                <w:szCs w:val="18"/>
              </w:rPr>
              <w:t>7,9</w:t>
            </w:r>
          </w:p>
        </w:tc>
        <w:tc>
          <w:tcPr>
            <w:tcW w:w="1286" w:type="dxa"/>
            <w:tcBorders>
              <w:top w:val="single" w:sz="4" w:space="0" w:color="auto"/>
              <w:left w:val="nil"/>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1,9</w:t>
            </w:r>
          </w:p>
        </w:tc>
        <w:tc>
          <w:tcPr>
            <w:tcW w:w="970" w:type="dxa"/>
            <w:tcBorders>
              <w:top w:val="single" w:sz="4" w:space="0" w:color="auto"/>
              <w:left w:val="single" w:sz="4" w:space="0" w:color="auto"/>
              <w:bottom w:val="single" w:sz="4" w:space="0" w:color="auto"/>
              <w:right w:val="single" w:sz="4" w:space="0" w:color="auto"/>
            </w:tcBorders>
            <w:vAlign w:val="center"/>
          </w:tcPr>
          <w:p w:rsidR="003E3CD4" w:rsidRPr="003E3CD4" w:rsidRDefault="003E3CD4" w:rsidP="00F11A4A">
            <w:pPr>
              <w:jc w:val="center"/>
              <w:rPr>
                <w:sz w:val="18"/>
                <w:szCs w:val="18"/>
              </w:rPr>
            </w:pPr>
            <w:r w:rsidRPr="003E3CD4">
              <w:rPr>
                <w:sz w:val="18"/>
                <w:szCs w:val="18"/>
              </w:rPr>
              <w:t>24,2</w:t>
            </w:r>
          </w:p>
        </w:tc>
      </w:tr>
    </w:tbl>
    <w:p w:rsidR="000E2F90" w:rsidRDefault="000E2F90" w:rsidP="003A1285">
      <w:pPr>
        <w:tabs>
          <w:tab w:val="left" w:pos="426"/>
          <w:tab w:val="left" w:pos="993"/>
        </w:tabs>
        <w:autoSpaceDE w:val="0"/>
        <w:autoSpaceDN w:val="0"/>
        <w:adjustRightInd w:val="0"/>
        <w:ind w:left="-709" w:firstLine="709"/>
        <w:jc w:val="both"/>
        <w:rPr>
          <w:bCs/>
          <w:sz w:val="22"/>
          <w:szCs w:val="22"/>
        </w:rPr>
      </w:pPr>
    </w:p>
    <w:p w:rsidR="00A41C72" w:rsidRDefault="00A41C72" w:rsidP="003A1285">
      <w:pPr>
        <w:tabs>
          <w:tab w:val="left" w:pos="426"/>
          <w:tab w:val="left" w:pos="993"/>
        </w:tabs>
        <w:autoSpaceDE w:val="0"/>
        <w:autoSpaceDN w:val="0"/>
        <w:adjustRightInd w:val="0"/>
        <w:ind w:left="-709" w:firstLine="709"/>
        <w:jc w:val="both"/>
        <w:rPr>
          <w:bCs/>
          <w:sz w:val="22"/>
          <w:szCs w:val="22"/>
        </w:rPr>
      </w:pPr>
    </w:p>
    <w:p w:rsidR="003A1285" w:rsidRPr="00334790" w:rsidRDefault="003A1285" w:rsidP="003A1285">
      <w:pPr>
        <w:tabs>
          <w:tab w:val="left" w:pos="426"/>
          <w:tab w:val="left" w:pos="993"/>
        </w:tabs>
        <w:autoSpaceDE w:val="0"/>
        <w:autoSpaceDN w:val="0"/>
        <w:adjustRightInd w:val="0"/>
        <w:ind w:left="-709" w:firstLine="709"/>
        <w:jc w:val="both"/>
        <w:rPr>
          <w:bCs/>
          <w:sz w:val="22"/>
          <w:szCs w:val="22"/>
          <w:lang w:val="en-US"/>
        </w:rPr>
      </w:pPr>
      <w:r>
        <w:rPr>
          <w:bCs/>
          <w:sz w:val="22"/>
          <w:szCs w:val="22"/>
          <w:lang w:val="en-US"/>
        </w:rPr>
        <w:t>All</w:t>
      </w:r>
      <w:r w:rsidRPr="008F0881">
        <w:rPr>
          <w:bCs/>
          <w:sz w:val="22"/>
          <w:szCs w:val="22"/>
          <w:lang w:val="en-US"/>
        </w:rPr>
        <w:t xml:space="preserve"> </w:t>
      </w:r>
      <w:r>
        <w:rPr>
          <w:bCs/>
          <w:sz w:val="22"/>
          <w:szCs w:val="22"/>
          <w:lang w:val="en-US"/>
        </w:rPr>
        <w:t>the</w:t>
      </w:r>
      <w:r w:rsidRPr="008F0881">
        <w:rPr>
          <w:bCs/>
          <w:sz w:val="22"/>
          <w:szCs w:val="22"/>
          <w:lang w:val="en-US"/>
        </w:rPr>
        <w:t xml:space="preserve"> </w:t>
      </w:r>
      <w:r>
        <w:rPr>
          <w:bCs/>
          <w:sz w:val="22"/>
          <w:szCs w:val="22"/>
          <w:lang w:val="en-US"/>
        </w:rPr>
        <w:t>items</w:t>
      </w:r>
      <w:r w:rsidRPr="008F0881">
        <w:rPr>
          <w:bCs/>
          <w:sz w:val="22"/>
          <w:szCs w:val="22"/>
          <w:lang w:val="en-US"/>
        </w:rPr>
        <w:t xml:space="preserve"> </w:t>
      </w:r>
      <w:r>
        <w:rPr>
          <w:bCs/>
          <w:sz w:val="22"/>
          <w:szCs w:val="22"/>
          <w:lang w:val="en-US"/>
        </w:rPr>
        <w:t>of</w:t>
      </w:r>
      <w:r w:rsidRPr="008F0881">
        <w:rPr>
          <w:bCs/>
          <w:sz w:val="22"/>
          <w:szCs w:val="22"/>
          <w:lang w:val="en-US"/>
        </w:rPr>
        <w:t xml:space="preserve"> </w:t>
      </w:r>
      <w:r>
        <w:rPr>
          <w:bCs/>
          <w:sz w:val="22"/>
          <w:szCs w:val="22"/>
          <w:lang w:val="en-US"/>
        </w:rPr>
        <w:t>the</w:t>
      </w:r>
      <w:r w:rsidRPr="008F0881">
        <w:rPr>
          <w:bCs/>
          <w:sz w:val="22"/>
          <w:szCs w:val="22"/>
          <w:lang w:val="en-US"/>
        </w:rPr>
        <w:t xml:space="preserve"> </w:t>
      </w:r>
      <w:r>
        <w:rPr>
          <w:bCs/>
          <w:sz w:val="22"/>
          <w:szCs w:val="22"/>
          <w:lang w:val="en-US"/>
        </w:rPr>
        <w:t>gross</w:t>
      </w:r>
      <w:r w:rsidRPr="008F0881">
        <w:rPr>
          <w:bCs/>
          <w:sz w:val="22"/>
          <w:szCs w:val="22"/>
          <w:lang w:val="en-US"/>
        </w:rPr>
        <w:t xml:space="preserve"> </w:t>
      </w:r>
      <w:r>
        <w:rPr>
          <w:bCs/>
          <w:sz w:val="22"/>
          <w:szCs w:val="22"/>
          <w:lang w:val="en-US"/>
        </w:rPr>
        <w:t>income</w:t>
      </w:r>
      <w:r w:rsidRPr="008F0881">
        <w:rPr>
          <w:bCs/>
          <w:sz w:val="22"/>
          <w:szCs w:val="22"/>
          <w:lang w:val="en-US"/>
        </w:rPr>
        <w:t xml:space="preserve"> </w:t>
      </w:r>
      <w:r>
        <w:rPr>
          <w:bCs/>
          <w:sz w:val="22"/>
          <w:szCs w:val="22"/>
          <w:lang w:val="en-US"/>
        </w:rPr>
        <w:t>are</w:t>
      </w:r>
      <w:r w:rsidRPr="008F0881">
        <w:rPr>
          <w:bCs/>
          <w:sz w:val="22"/>
          <w:szCs w:val="22"/>
          <w:lang w:val="en-US"/>
        </w:rPr>
        <w:t xml:space="preserve"> </w:t>
      </w:r>
      <w:r>
        <w:rPr>
          <w:bCs/>
          <w:sz w:val="22"/>
          <w:szCs w:val="22"/>
          <w:lang w:val="en-US"/>
        </w:rPr>
        <w:t>given</w:t>
      </w:r>
      <w:r w:rsidRPr="008F0881">
        <w:rPr>
          <w:bCs/>
          <w:sz w:val="22"/>
          <w:szCs w:val="22"/>
          <w:lang w:val="en-US"/>
        </w:rPr>
        <w:t xml:space="preserve"> </w:t>
      </w:r>
      <w:r>
        <w:rPr>
          <w:bCs/>
          <w:sz w:val="22"/>
          <w:szCs w:val="22"/>
          <w:lang w:val="en-US"/>
        </w:rPr>
        <w:t>without</w:t>
      </w:r>
      <w:r w:rsidRPr="008F0881">
        <w:rPr>
          <w:bCs/>
          <w:sz w:val="22"/>
          <w:szCs w:val="22"/>
          <w:lang w:val="en-US"/>
        </w:rPr>
        <w:t xml:space="preserve"> </w:t>
      </w:r>
      <w:r>
        <w:rPr>
          <w:bCs/>
          <w:sz w:val="22"/>
          <w:szCs w:val="22"/>
          <w:lang w:val="en-US"/>
        </w:rPr>
        <w:t>account</w:t>
      </w:r>
      <w:r w:rsidRPr="008F0881">
        <w:rPr>
          <w:bCs/>
          <w:sz w:val="22"/>
          <w:szCs w:val="22"/>
          <w:lang w:val="en-US"/>
        </w:rPr>
        <w:t xml:space="preserve"> </w:t>
      </w:r>
      <w:r>
        <w:rPr>
          <w:bCs/>
          <w:sz w:val="22"/>
          <w:szCs w:val="22"/>
          <w:lang w:val="en-US"/>
        </w:rPr>
        <w:t>of</w:t>
      </w:r>
      <w:r w:rsidRPr="008F0881">
        <w:rPr>
          <w:bCs/>
          <w:sz w:val="22"/>
          <w:szCs w:val="22"/>
          <w:lang w:val="en-US"/>
        </w:rPr>
        <w:t xml:space="preserve"> </w:t>
      </w:r>
      <w:r>
        <w:rPr>
          <w:bCs/>
          <w:sz w:val="22"/>
          <w:szCs w:val="22"/>
          <w:lang w:val="en-US"/>
        </w:rPr>
        <w:t>the</w:t>
      </w:r>
      <w:r w:rsidRPr="008F0881">
        <w:rPr>
          <w:bCs/>
          <w:sz w:val="22"/>
          <w:szCs w:val="22"/>
          <w:lang w:val="en-US"/>
        </w:rPr>
        <w:t xml:space="preserve"> </w:t>
      </w:r>
      <w:r>
        <w:rPr>
          <w:bCs/>
          <w:sz w:val="22"/>
          <w:szCs w:val="22"/>
          <w:lang w:val="en-US"/>
        </w:rPr>
        <w:t>STB</w:t>
      </w:r>
      <w:r w:rsidRPr="008F0881">
        <w:rPr>
          <w:bCs/>
          <w:sz w:val="22"/>
          <w:szCs w:val="22"/>
          <w:lang w:val="en-US"/>
        </w:rPr>
        <w:t xml:space="preserve"> </w:t>
      </w:r>
      <w:r>
        <w:rPr>
          <w:bCs/>
          <w:sz w:val="22"/>
          <w:szCs w:val="22"/>
          <w:lang w:val="en-US"/>
        </w:rPr>
        <w:t>in</w:t>
      </w:r>
      <w:r w:rsidRPr="008F0881">
        <w:rPr>
          <w:bCs/>
          <w:sz w:val="22"/>
          <w:szCs w:val="22"/>
          <w:lang w:val="en-US"/>
        </w:rPr>
        <w:t xml:space="preserve"> </w:t>
      </w:r>
      <w:r>
        <w:rPr>
          <w:bCs/>
          <w:sz w:val="22"/>
          <w:szCs w:val="22"/>
          <w:lang w:val="en-US"/>
        </w:rPr>
        <w:t>the</w:t>
      </w:r>
      <w:r w:rsidRPr="008F0881">
        <w:rPr>
          <w:bCs/>
          <w:sz w:val="22"/>
          <w:szCs w:val="22"/>
          <w:lang w:val="en-US"/>
        </w:rPr>
        <w:t xml:space="preserve"> </w:t>
      </w:r>
      <w:r>
        <w:rPr>
          <w:bCs/>
          <w:sz w:val="22"/>
          <w:szCs w:val="22"/>
          <w:lang w:val="en-US"/>
        </w:rPr>
        <w:t>table</w:t>
      </w:r>
      <w:r w:rsidRPr="008F0881">
        <w:rPr>
          <w:bCs/>
          <w:sz w:val="22"/>
          <w:szCs w:val="22"/>
          <w:lang w:val="en-US"/>
        </w:rPr>
        <w:t xml:space="preserve"> </w:t>
      </w:r>
      <w:r>
        <w:rPr>
          <w:bCs/>
          <w:sz w:val="22"/>
          <w:szCs w:val="22"/>
          <w:lang w:val="en-US"/>
        </w:rPr>
        <w:t>below</w:t>
      </w:r>
      <w:r w:rsidRPr="008F0881">
        <w:rPr>
          <w:bCs/>
          <w:sz w:val="22"/>
          <w:szCs w:val="22"/>
          <w:lang w:val="en-US"/>
        </w:rPr>
        <w:t xml:space="preserve">. </w:t>
      </w:r>
      <w:r>
        <w:rPr>
          <w:bCs/>
          <w:sz w:val="22"/>
          <w:szCs w:val="22"/>
          <w:lang w:val="en-US"/>
        </w:rPr>
        <w:t xml:space="preserve"> </w:t>
      </w:r>
    </w:p>
    <w:p w:rsidR="000E2F90" w:rsidRPr="00334790" w:rsidRDefault="000E2F90" w:rsidP="003A1285">
      <w:pPr>
        <w:tabs>
          <w:tab w:val="left" w:pos="426"/>
          <w:tab w:val="left" w:pos="993"/>
        </w:tabs>
        <w:autoSpaceDE w:val="0"/>
        <w:autoSpaceDN w:val="0"/>
        <w:adjustRightInd w:val="0"/>
        <w:ind w:left="-709" w:firstLine="709"/>
        <w:jc w:val="both"/>
        <w:rPr>
          <w:bCs/>
          <w:sz w:val="22"/>
          <w:szCs w:val="22"/>
          <w:lang w:val="en-US"/>
        </w:rPr>
      </w:pPr>
    </w:p>
    <w:p w:rsidR="00A41C72" w:rsidRPr="00334790" w:rsidRDefault="00A41C72" w:rsidP="003A1285">
      <w:pPr>
        <w:tabs>
          <w:tab w:val="left" w:pos="426"/>
          <w:tab w:val="left" w:pos="993"/>
        </w:tabs>
        <w:autoSpaceDE w:val="0"/>
        <w:autoSpaceDN w:val="0"/>
        <w:adjustRightInd w:val="0"/>
        <w:ind w:left="-709" w:firstLine="709"/>
        <w:jc w:val="both"/>
        <w:rPr>
          <w:bCs/>
          <w:sz w:val="22"/>
          <w:szCs w:val="22"/>
          <w:lang w:val="en-US"/>
        </w:rPr>
      </w:pPr>
    </w:p>
    <w:p w:rsidR="00911765" w:rsidRPr="00334790" w:rsidRDefault="00911765" w:rsidP="003A1285">
      <w:pPr>
        <w:tabs>
          <w:tab w:val="left" w:pos="426"/>
          <w:tab w:val="left" w:pos="993"/>
        </w:tabs>
        <w:autoSpaceDE w:val="0"/>
        <w:autoSpaceDN w:val="0"/>
        <w:adjustRightInd w:val="0"/>
        <w:ind w:left="-709" w:firstLine="709"/>
        <w:jc w:val="both"/>
        <w:rPr>
          <w:bCs/>
          <w:sz w:val="22"/>
          <w:szCs w:val="22"/>
          <w:lang w:val="en-US"/>
        </w:rPr>
      </w:pPr>
    </w:p>
    <w:tbl>
      <w:tblPr>
        <w:tblW w:w="9782" w:type="dxa"/>
        <w:tblInd w:w="-6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35"/>
        <w:gridCol w:w="709"/>
        <w:gridCol w:w="845"/>
        <w:gridCol w:w="856"/>
        <w:gridCol w:w="851"/>
        <w:gridCol w:w="850"/>
        <w:gridCol w:w="851"/>
        <w:gridCol w:w="992"/>
        <w:gridCol w:w="993"/>
      </w:tblGrid>
      <w:tr w:rsidR="003A1285" w:rsidRPr="00D57D7B" w:rsidTr="00911765">
        <w:trPr>
          <w:trHeight w:val="169"/>
          <w:tblHeader/>
        </w:trPr>
        <w:tc>
          <w:tcPr>
            <w:tcW w:w="2835" w:type="dxa"/>
            <w:vMerge w:val="restart"/>
            <w:shd w:val="clear" w:color="000000" w:fill="auto"/>
            <w:vAlign w:val="center"/>
          </w:tcPr>
          <w:p w:rsidR="003A1285" w:rsidRPr="008F0881" w:rsidRDefault="003A1285" w:rsidP="00770BC8">
            <w:pPr>
              <w:tabs>
                <w:tab w:val="left" w:pos="426"/>
              </w:tabs>
              <w:jc w:val="center"/>
              <w:rPr>
                <w:b/>
                <w:bCs/>
                <w:color w:val="000000"/>
                <w:sz w:val="18"/>
                <w:szCs w:val="18"/>
                <w:lang w:val="en-US"/>
              </w:rPr>
            </w:pPr>
            <w:r>
              <w:rPr>
                <w:b/>
                <w:bCs/>
                <w:color w:val="000000"/>
                <w:sz w:val="18"/>
                <w:szCs w:val="18"/>
                <w:lang w:val="en-US"/>
              </w:rPr>
              <w:t xml:space="preserve">Name </w:t>
            </w:r>
          </w:p>
        </w:tc>
        <w:tc>
          <w:tcPr>
            <w:tcW w:w="1554" w:type="dxa"/>
            <w:gridSpan w:val="2"/>
            <w:shd w:val="clear" w:color="000000" w:fill="auto"/>
            <w:vAlign w:val="center"/>
          </w:tcPr>
          <w:p w:rsidR="003A1285" w:rsidRPr="00D57D7B" w:rsidRDefault="00972A2F" w:rsidP="00770BC8">
            <w:pPr>
              <w:tabs>
                <w:tab w:val="left" w:pos="0"/>
              </w:tabs>
              <w:ind w:firstLine="142"/>
              <w:jc w:val="center"/>
              <w:rPr>
                <w:b/>
                <w:bCs/>
                <w:color w:val="000000"/>
                <w:sz w:val="18"/>
                <w:szCs w:val="18"/>
              </w:rPr>
            </w:pPr>
            <w:r>
              <w:rPr>
                <w:b/>
                <w:bCs/>
                <w:color w:val="000000"/>
                <w:sz w:val="18"/>
                <w:szCs w:val="18"/>
                <w:lang w:val="en-US"/>
              </w:rPr>
              <w:t>H1 2012</w:t>
            </w:r>
            <w:r w:rsidR="003A1285" w:rsidRPr="00D57D7B">
              <w:rPr>
                <w:b/>
                <w:bCs/>
                <w:color w:val="000000"/>
                <w:sz w:val="18"/>
                <w:szCs w:val="18"/>
              </w:rPr>
              <w:t xml:space="preserve"> </w:t>
            </w:r>
          </w:p>
        </w:tc>
        <w:tc>
          <w:tcPr>
            <w:tcW w:w="856" w:type="dxa"/>
            <w:vMerge w:val="restart"/>
            <w:shd w:val="clear" w:color="000000" w:fill="auto"/>
            <w:vAlign w:val="center"/>
          </w:tcPr>
          <w:p w:rsidR="003A1285" w:rsidRPr="00D57D7B" w:rsidRDefault="00972A2F" w:rsidP="00770BC8">
            <w:pPr>
              <w:tabs>
                <w:tab w:val="left" w:pos="0"/>
              </w:tabs>
              <w:jc w:val="center"/>
              <w:rPr>
                <w:b/>
                <w:bCs/>
                <w:color w:val="000000"/>
                <w:sz w:val="18"/>
                <w:szCs w:val="18"/>
              </w:rPr>
            </w:pPr>
            <w:r>
              <w:rPr>
                <w:b/>
                <w:bCs/>
                <w:color w:val="000000"/>
                <w:sz w:val="18"/>
                <w:szCs w:val="18"/>
                <w:lang w:val="en-US"/>
              </w:rPr>
              <w:t>H1 2012</w:t>
            </w:r>
            <w:r w:rsidR="003A1285">
              <w:rPr>
                <w:b/>
                <w:bCs/>
                <w:color w:val="000000"/>
                <w:sz w:val="18"/>
                <w:szCs w:val="18"/>
                <w:lang w:val="en-US"/>
              </w:rPr>
              <w:t>,</w:t>
            </w:r>
            <w:r w:rsidR="003A1285" w:rsidRPr="00D57D7B">
              <w:rPr>
                <w:b/>
                <w:bCs/>
                <w:color w:val="000000"/>
                <w:sz w:val="18"/>
                <w:szCs w:val="18"/>
              </w:rPr>
              <w:t xml:space="preserve"> </w:t>
            </w:r>
            <w:r w:rsidR="003A1285">
              <w:rPr>
                <w:b/>
                <w:bCs/>
                <w:color w:val="000000"/>
                <w:sz w:val="18"/>
                <w:szCs w:val="18"/>
                <w:lang w:val="en-US"/>
              </w:rPr>
              <w:t xml:space="preserve"> </w:t>
            </w:r>
            <w:r w:rsidR="003A1285" w:rsidRPr="00D57D7B">
              <w:rPr>
                <w:b/>
                <w:bCs/>
                <w:color w:val="000000"/>
                <w:sz w:val="18"/>
                <w:szCs w:val="18"/>
              </w:rPr>
              <w:t xml:space="preserve"> </w:t>
            </w:r>
            <w:r w:rsidR="003A1285">
              <w:rPr>
                <w:b/>
                <w:bCs/>
                <w:color w:val="000000"/>
                <w:sz w:val="18"/>
                <w:szCs w:val="18"/>
                <w:lang w:val="en-US"/>
              </w:rPr>
              <w:t xml:space="preserve">KZT </w:t>
            </w:r>
            <w:r w:rsidR="000A43AE">
              <w:rPr>
                <w:b/>
                <w:bCs/>
                <w:color w:val="000000"/>
                <w:sz w:val="18"/>
                <w:szCs w:val="18"/>
                <w:lang w:val="en-US"/>
              </w:rPr>
              <w:t>billion</w:t>
            </w:r>
            <w:r w:rsidR="003A1285">
              <w:rPr>
                <w:b/>
                <w:bCs/>
                <w:color w:val="000000"/>
                <w:sz w:val="18"/>
                <w:szCs w:val="18"/>
                <w:lang w:val="en-US"/>
              </w:rPr>
              <w:t>.</w:t>
            </w:r>
          </w:p>
        </w:tc>
        <w:tc>
          <w:tcPr>
            <w:tcW w:w="1701" w:type="dxa"/>
            <w:gridSpan w:val="2"/>
            <w:shd w:val="clear" w:color="000000" w:fill="auto"/>
            <w:vAlign w:val="center"/>
          </w:tcPr>
          <w:p w:rsidR="003A1285" w:rsidRPr="008F0881" w:rsidRDefault="00972A2F" w:rsidP="00770BC8">
            <w:pPr>
              <w:tabs>
                <w:tab w:val="left" w:pos="0"/>
              </w:tabs>
              <w:ind w:firstLine="103"/>
              <w:jc w:val="center"/>
              <w:rPr>
                <w:b/>
                <w:bCs/>
                <w:color w:val="000000"/>
                <w:sz w:val="18"/>
                <w:szCs w:val="18"/>
                <w:lang w:val="en-US"/>
              </w:rPr>
            </w:pPr>
            <w:r>
              <w:rPr>
                <w:b/>
                <w:bCs/>
                <w:color w:val="000000"/>
                <w:sz w:val="18"/>
                <w:szCs w:val="18"/>
                <w:lang w:val="en-US"/>
              </w:rPr>
              <w:t>H1 2011</w:t>
            </w:r>
            <w:r w:rsidR="003A1285">
              <w:rPr>
                <w:b/>
                <w:bCs/>
                <w:color w:val="000000"/>
                <w:sz w:val="18"/>
                <w:szCs w:val="18"/>
              </w:rPr>
              <w:t xml:space="preserve"> </w:t>
            </w:r>
          </w:p>
        </w:tc>
        <w:tc>
          <w:tcPr>
            <w:tcW w:w="851" w:type="dxa"/>
            <w:vMerge w:val="restart"/>
            <w:shd w:val="clear" w:color="000000" w:fill="auto"/>
            <w:vAlign w:val="center"/>
          </w:tcPr>
          <w:p w:rsidR="003A1285" w:rsidRPr="00D57D7B" w:rsidRDefault="00972A2F" w:rsidP="00972A2F">
            <w:pPr>
              <w:tabs>
                <w:tab w:val="left" w:pos="0"/>
              </w:tabs>
              <w:ind w:firstLine="103"/>
              <w:jc w:val="center"/>
              <w:rPr>
                <w:b/>
                <w:bCs/>
                <w:color w:val="000000"/>
                <w:sz w:val="18"/>
                <w:szCs w:val="18"/>
              </w:rPr>
            </w:pPr>
            <w:r>
              <w:rPr>
                <w:b/>
                <w:bCs/>
                <w:color w:val="000000"/>
                <w:sz w:val="18"/>
                <w:szCs w:val="18"/>
                <w:lang w:val="en-US"/>
              </w:rPr>
              <w:t>H1 2011</w:t>
            </w:r>
            <w:r w:rsidR="003A1285">
              <w:rPr>
                <w:b/>
                <w:bCs/>
                <w:color w:val="000000"/>
                <w:sz w:val="18"/>
                <w:szCs w:val="18"/>
                <w:lang w:val="en-US"/>
              </w:rPr>
              <w:t>,</w:t>
            </w:r>
            <w:r w:rsidR="003A1285" w:rsidRPr="00D57D7B">
              <w:rPr>
                <w:b/>
                <w:bCs/>
                <w:color w:val="000000"/>
                <w:sz w:val="18"/>
                <w:szCs w:val="18"/>
              </w:rPr>
              <w:t xml:space="preserve"> </w:t>
            </w:r>
            <w:r w:rsidR="003A1285">
              <w:rPr>
                <w:b/>
                <w:bCs/>
                <w:color w:val="000000"/>
                <w:sz w:val="18"/>
                <w:szCs w:val="18"/>
                <w:lang w:val="en-US"/>
              </w:rPr>
              <w:t xml:space="preserve">KZT </w:t>
            </w:r>
            <w:r w:rsidR="000A43AE">
              <w:rPr>
                <w:b/>
                <w:bCs/>
                <w:color w:val="000000"/>
                <w:sz w:val="18"/>
                <w:szCs w:val="18"/>
                <w:lang w:val="en-US"/>
              </w:rPr>
              <w:t>billion</w:t>
            </w:r>
            <w:r w:rsidR="003A1285">
              <w:rPr>
                <w:b/>
                <w:bCs/>
                <w:color w:val="000000"/>
                <w:sz w:val="18"/>
                <w:szCs w:val="18"/>
                <w:lang w:val="en-US"/>
              </w:rPr>
              <w:t>.</w:t>
            </w:r>
          </w:p>
        </w:tc>
        <w:tc>
          <w:tcPr>
            <w:tcW w:w="992" w:type="dxa"/>
            <w:vMerge w:val="restart"/>
            <w:shd w:val="clear" w:color="000000" w:fill="auto"/>
            <w:vAlign w:val="center"/>
          </w:tcPr>
          <w:p w:rsidR="003A1285" w:rsidRPr="002D1B97" w:rsidRDefault="003A1285" w:rsidP="00770BC8">
            <w:pPr>
              <w:tabs>
                <w:tab w:val="left" w:pos="0"/>
              </w:tabs>
              <w:jc w:val="center"/>
              <w:rPr>
                <w:b/>
                <w:bCs/>
                <w:sz w:val="18"/>
                <w:szCs w:val="18"/>
                <w:lang w:val="en-US"/>
              </w:rPr>
            </w:pPr>
            <w:r w:rsidRPr="002D1B97">
              <w:rPr>
                <w:rFonts w:eastAsia="Calibri"/>
                <w:b/>
                <w:bCs/>
                <w:sz w:val="18"/>
                <w:szCs w:val="18"/>
                <w:lang w:val="en-US"/>
              </w:rPr>
              <w:t>Change</w:t>
            </w:r>
            <w:r w:rsidRPr="002D1B97">
              <w:rPr>
                <w:b/>
                <w:bCs/>
                <w:sz w:val="18"/>
                <w:szCs w:val="18"/>
                <w:lang w:val="en-US"/>
              </w:rPr>
              <w:t xml:space="preserve">, in KZT </w:t>
            </w:r>
            <w:r w:rsidR="000A43AE" w:rsidRPr="002D1B97">
              <w:rPr>
                <w:b/>
                <w:bCs/>
                <w:sz w:val="18"/>
                <w:szCs w:val="18"/>
                <w:lang w:val="en-US"/>
              </w:rPr>
              <w:t>billion</w:t>
            </w:r>
            <w:r w:rsidRPr="002D1B97">
              <w:rPr>
                <w:b/>
                <w:bCs/>
                <w:sz w:val="18"/>
                <w:szCs w:val="18"/>
                <w:lang w:val="en-US"/>
              </w:rPr>
              <w:t>.</w:t>
            </w:r>
          </w:p>
        </w:tc>
        <w:tc>
          <w:tcPr>
            <w:tcW w:w="993" w:type="dxa"/>
            <w:vMerge w:val="restart"/>
            <w:shd w:val="clear" w:color="000000" w:fill="auto"/>
            <w:vAlign w:val="center"/>
          </w:tcPr>
          <w:p w:rsidR="003A1285" w:rsidRPr="00D57D7B" w:rsidRDefault="003A1285" w:rsidP="00770BC8">
            <w:pPr>
              <w:tabs>
                <w:tab w:val="left" w:pos="0"/>
              </w:tabs>
              <w:jc w:val="center"/>
              <w:rPr>
                <w:b/>
                <w:bCs/>
                <w:color w:val="000000"/>
                <w:sz w:val="18"/>
                <w:szCs w:val="18"/>
              </w:rPr>
            </w:pPr>
            <w:r>
              <w:rPr>
                <w:rFonts w:eastAsia="Calibri"/>
                <w:b/>
                <w:bCs/>
                <w:color w:val="000000"/>
                <w:sz w:val="18"/>
                <w:szCs w:val="18"/>
                <w:lang w:val="en-US"/>
              </w:rPr>
              <w:t>Change</w:t>
            </w:r>
            <w:r>
              <w:rPr>
                <w:b/>
                <w:bCs/>
                <w:color w:val="000000"/>
                <w:sz w:val="18"/>
                <w:szCs w:val="18"/>
              </w:rPr>
              <w:t xml:space="preserve">, </w:t>
            </w:r>
            <w:r>
              <w:rPr>
                <w:b/>
                <w:bCs/>
                <w:color w:val="000000"/>
                <w:sz w:val="18"/>
                <w:szCs w:val="18"/>
                <w:lang w:val="en-US"/>
              </w:rPr>
              <w:t>in</w:t>
            </w:r>
            <w:r w:rsidRPr="00D57D7B">
              <w:rPr>
                <w:b/>
                <w:bCs/>
                <w:color w:val="000000"/>
                <w:sz w:val="18"/>
                <w:szCs w:val="18"/>
              </w:rPr>
              <w:t xml:space="preserve"> %</w:t>
            </w:r>
          </w:p>
        </w:tc>
      </w:tr>
      <w:tr w:rsidR="003A1285" w:rsidRPr="00B5391C" w:rsidTr="000E2F90">
        <w:trPr>
          <w:trHeight w:val="946"/>
        </w:trPr>
        <w:tc>
          <w:tcPr>
            <w:tcW w:w="2835" w:type="dxa"/>
            <w:vMerge/>
            <w:shd w:val="clear" w:color="000000" w:fill="auto"/>
            <w:vAlign w:val="center"/>
            <w:hideMark/>
          </w:tcPr>
          <w:p w:rsidR="003A1285" w:rsidRPr="00D57D7B" w:rsidRDefault="003A1285" w:rsidP="00770BC8">
            <w:pPr>
              <w:tabs>
                <w:tab w:val="left" w:pos="426"/>
              </w:tabs>
              <w:ind w:firstLine="709"/>
              <w:jc w:val="center"/>
              <w:rPr>
                <w:b/>
                <w:bCs/>
                <w:color w:val="000000"/>
                <w:sz w:val="18"/>
                <w:szCs w:val="18"/>
              </w:rPr>
            </w:pPr>
          </w:p>
        </w:tc>
        <w:tc>
          <w:tcPr>
            <w:tcW w:w="709" w:type="dxa"/>
            <w:shd w:val="clear" w:color="000000" w:fill="auto"/>
            <w:vAlign w:val="center"/>
            <w:hideMark/>
          </w:tcPr>
          <w:p w:rsidR="003A1285" w:rsidRPr="008252D9" w:rsidRDefault="003A1285" w:rsidP="002D1B97">
            <w:pPr>
              <w:tabs>
                <w:tab w:val="left" w:pos="176"/>
              </w:tabs>
              <w:jc w:val="center"/>
              <w:rPr>
                <w:bCs/>
                <w:color w:val="000000"/>
                <w:sz w:val="18"/>
                <w:szCs w:val="18"/>
                <w:lang w:val="en-US"/>
              </w:rPr>
            </w:pPr>
            <w:r>
              <w:rPr>
                <w:b/>
                <w:bCs/>
                <w:color w:val="000000"/>
                <w:sz w:val="18"/>
                <w:szCs w:val="18"/>
                <w:lang w:val="en-US"/>
              </w:rPr>
              <w:t>in</w:t>
            </w:r>
            <w:r w:rsidRPr="008252D9">
              <w:rPr>
                <w:b/>
                <w:bCs/>
                <w:color w:val="000000"/>
                <w:sz w:val="18"/>
                <w:szCs w:val="18"/>
                <w:lang w:val="en-US"/>
              </w:rPr>
              <w:t xml:space="preserve"> % </w:t>
            </w:r>
            <w:r>
              <w:rPr>
                <w:b/>
                <w:bCs/>
                <w:color w:val="000000"/>
                <w:sz w:val="18"/>
                <w:szCs w:val="18"/>
                <w:lang w:val="en-US"/>
              </w:rPr>
              <w:t>t</w:t>
            </w:r>
            <w:r w:rsidRPr="008252D9">
              <w:rPr>
                <w:b/>
                <w:bCs/>
                <w:color w:val="000000"/>
                <w:sz w:val="18"/>
                <w:szCs w:val="18"/>
                <w:lang w:val="en-US"/>
              </w:rPr>
              <w:t xml:space="preserve">o </w:t>
            </w:r>
            <w:r w:rsidR="002D1B97">
              <w:rPr>
                <w:b/>
                <w:bCs/>
                <w:color w:val="000000"/>
                <w:sz w:val="18"/>
                <w:szCs w:val="18"/>
                <w:lang w:val="en-US"/>
              </w:rPr>
              <w:t>e</w:t>
            </w:r>
            <w:r w:rsidR="00972A2F">
              <w:rPr>
                <w:b/>
                <w:bCs/>
                <w:color w:val="000000"/>
                <w:sz w:val="18"/>
                <w:szCs w:val="18"/>
                <w:lang w:val="en-US"/>
              </w:rPr>
              <w:t>xpens</w:t>
            </w:r>
            <w:r w:rsidR="002D1B97">
              <w:rPr>
                <w:b/>
                <w:bCs/>
                <w:color w:val="000000"/>
                <w:sz w:val="18"/>
                <w:szCs w:val="18"/>
                <w:lang w:val="en-US"/>
              </w:rPr>
              <w:t>es</w:t>
            </w:r>
            <w:r w:rsidRPr="008252D9">
              <w:rPr>
                <w:b/>
                <w:bCs/>
                <w:color w:val="000000"/>
                <w:sz w:val="18"/>
                <w:szCs w:val="18"/>
                <w:lang w:val="en-US"/>
              </w:rPr>
              <w:t xml:space="preserve"> from the sale</w:t>
            </w:r>
          </w:p>
        </w:tc>
        <w:tc>
          <w:tcPr>
            <w:tcW w:w="845" w:type="dxa"/>
            <w:shd w:val="clear" w:color="000000" w:fill="auto"/>
            <w:vAlign w:val="center"/>
            <w:hideMark/>
          </w:tcPr>
          <w:p w:rsidR="003A1285" w:rsidRPr="008252D9" w:rsidRDefault="003A1285" w:rsidP="002D1B97">
            <w:pPr>
              <w:tabs>
                <w:tab w:val="left" w:pos="0"/>
              </w:tabs>
              <w:jc w:val="center"/>
              <w:rPr>
                <w:bCs/>
                <w:color w:val="000000"/>
                <w:sz w:val="18"/>
                <w:szCs w:val="18"/>
                <w:lang w:val="en-US"/>
              </w:rPr>
            </w:pPr>
            <w:r>
              <w:rPr>
                <w:b/>
                <w:bCs/>
                <w:color w:val="000000"/>
                <w:sz w:val="18"/>
                <w:szCs w:val="18"/>
                <w:lang w:val="en-US"/>
              </w:rPr>
              <w:t>in</w:t>
            </w:r>
            <w:r w:rsidRPr="008252D9">
              <w:rPr>
                <w:b/>
                <w:bCs/>
                <w:color w:val="000000"/>
                <w:sz w:val="18"/>
                <w:szCs w:val="18"/>
                <w:lang w:val="en-US"/>
              </w:rPr>
              <w:t xml:space="preserve"> % to </w:t>
            </w:r>
            <w:r w:rsidR="002D1B97">
              <w:rPr>
                <w:b/>
                <w:bCs/>
                <w:color w:val="000000"/>
                <w:sz w:val="18"/>
                <w:szCs w:val="18"/>
                <w:lang w:val="en-US"/>
              </w:rPr>
              <w:t>e</w:t>
            </w:r>
            <w:r w:rsidR="00972A2F">
              <w:rPr>
                <w:b/>
                <w:bCs/>
                <w:color w:val="000000"/>
                <w:sz w:val="18"/>
                <w:szCs w:val="18"/>
                <w:lang w:val="en-US"/>
              </w:rPr>
              <w:t>xpense</w:t>
            </w:r>
            <w:r w:rsidR="002D1B97">
              <w:rPr>
                <w:b/>
                <w:bCs/>
                <w:color w:val="000000"/>
                <w:sz w:val="18"/>
                <w:szCs w:val="18"/>
                <w:lang w:val="en-US"/>
              </w:rPr>
              <w:t>s</w:t>
            </w:r>
            <w:r w:rsidRPr="008252D9">
              <w:rPr>
                <w:b/>
                <w:bCs/>
                <w:color w:val="000000"/>
                <w:sz w:val="18"/>
                <w:szCs w:val="18"/>
                <w:lang w:val="en-US"/>
              </w:rPr>
              <w:t xml:space="preserve"> from operations</w:t>
            </w:r>
          </w:p>
        </w:tc>
        <w:tc>
          <w:tcPr>
            <w:tcW w:w="856" w:type="dxa"/>
            <w:vMerge/>
            <w:shd w:val="clear" w:color="000000" w:fill="auto"/>
            <w:vAlign w:val="center"/>
            <w:hideMark/>
          </w:tcPr>
          <w:p w:rsidR="003A1285" w:rsidRPr="008F0881" w:rsidRDefault="003A1285" w:rsidP="00770BC8">
            <w:pPr>
              <w:tabs>
                <w:tab w:val="left" w:pos="0"/>
              </w:tabs>
              <w:ind w:firstLine="142"/>
              <w:jc w:val="center"/>
              <w:rPr>
                <w:b/>
                <w:bCs/>
                <w:color w:val="000000"/>
                <w:sz w:val="18"/>
                <w:szCs w:val="18"/>
                <w:lang w:val="en-US"/>
              </w:rPr>
            </w:pPr>
          </w:p>
        </w:tc>
        <w:tc>
          <w:tcPr>
            <w:tcW w:w="851" w:type="dxa"/>
            <w:shd w:val="clear" w:color="000000" w:fill="auto"/>
            <w:vAlign w:val="center"/>
          </w:tcPr>
          <w:p w:rsidR="003A1285" w:rsidRPr="008252D9" w:rsidRDefault="003A1285" w:rsidP="00770BC8">
            <w:pPr>
              <w:tabs>
                <w:tab w:val="left" w:pos="176"/>
              </w:tabs>
              <w:jc w:val="center"/>
              <w:rPr>
                <w:bCs/>
                <w:color w:val="000000"/>
                <w:sz w:val="18"/>
                <w:szCs w:val="18"/>
                <w:lang w:val="en-US"/>
              </w:rPr>
            </w:pPr>
            <w:r>
              <w:rPr>
                <w:b/>
                <w:bCs/>
                <w:color w:val="000000"/>
                <w:sz w:val="18"/>
                <w:szCs w:val="18"/>
                <w:lang w:val="en-US"/>
              </w:rPr>
              <w:t>in</w:t>
            </w:r>
            <w:r w:rsidRPr="008252D9">
              <w:rPr>
                <w:b/>
                <w:bCs/>
                <w:color w:val="000000"/>
                <w:sz w:val="18"/>
                <w:szCs w:val="18"/>
                <w:lang w:val="en-US"/>
              </w:rPr>
              <w:t xml:space="preserve"> % </w:t>
            </w:r>
            <w:r>
              <w:rPr>
                <w:b/>
                <w:bCs/>
                <w:color w:val="000000"/>
                <w:sz w:val="18"/>
                <w:szCs w:val="18"/>
                <w:lang w:val="en-US"/>
              </w:rPr>
              <w:t>t</w:t>
            </w:r>
            <w:r w:rsidRPr="008252D9">
              <w:rPr>
                <w:b/>
                <w:bCs/>
                <w:color w:val="000000"/>
                <w:sz w:val="18"/>
                <w:szCs w:val="18"/>
                <w:lang w:val="en-US"/>
              </w:rPr>
              <w:t>o income from the sale</w:t>
            </w:r>
          </w:p>
        </w:tc>
        <w:tc>
          <w:tcPr>
            <w:tcW w:w="850" w:type="dxa"/>
            <w:shd w:val="clear" w:color="000000" w:fill="auto"/>
            <w:vAlign w:val="center"/>
          </w:tcPr>
          <w:p w:rsidR="003A1285" w:rsidRPr="008252D9" w:rsidRDefault="003A1285" w:rsidP="002D1B97">
            <w:pPr>
              <w:tabs>
                <w:tab w:val="left" w:pos="0"/>
              </w:tabs>
              <w:jc w:val="center"/>
              <w:rPr>
                <w:bCs/>
                <w:color w:val="000000"/>
                <w:sz w:val="18"/>
                <w:szCs w:val="18"/>
                <w:lang w:val="en-US"/>
              </w:rPr>
            </w:pPr>
            <w:r>
              <w:rPr>
                <w:b/>
                <w:bCs/>
                <w:color w:val="000000"/>
                <w:sz w:val="18"/>
                <w:szCs w:val="18"/>
                <w:lang w:val="en-US"/>
              </w:rPr>
              <w:t>in</w:t>
            </w:r>
            <w:r w:rsidRPr="008252D9">
              <w:rPr>
                <w:b/>
                <w:bCs/>
                <w:color w:val="000000"/>
                <w:sz w:val="18"/>
                <w:szCs w:val="18"/>
                <w:lang w:val="en-US"/>
              </w:rPr>
              <w:t xml:space="preserve"> % to </w:t>
            </w:r>
            <w:r w:rsidR="002D1B97">
              <w:rPr>
                <w:b/>
                <w:bCs/>
                <w:color w:val="000000"/>
                <w:sz w:val="18"/>
                <w:szCs w:val="18"/>
                <w:lang w:val="en-US"/>
              </w:rPr>
              <w:t>e</w:t>
            </w:r>
            <w:r w:rsidR="00972A2F">
              <w:rPr>
                <w:b/>
                <w:bCs/>
                <w:color w:val="000000"/>
                <w:sz w:val="18"/>
                <w:szCs w:val="18"/>
                <w:lang w:val="en-US"/>
              </w:rPr>
              <w:t>xpense</w:t>
            </w:r>
            <w:r w:rsidR="002D1B97">
              <w:rPr>
                <w:b/>
                <w:bCs/>
                <w:color w:val="000000"/>
                <w:sz w:val="18"/>
                <w:szCs w:val="18"/>
                <w:lang w:val="en-US"/>
              </w:rPr>
              <w:t>s</w:t>
            </w:r>
            <w:r w:rsidRPr="008252D9">
              <w:rPr>
                <w:b/>
                <w:bCs/>
                <w:color w:val="000000"/>
                <w:sz w:val="18"/>
                <w:szCs w:val="18"/>
                <w:lang w:val="en-US"/>
              </w:rPr>
              <w:t xml:space="preserve"> from operations</w:t>
            </w:r>
          </w:p>
        </w:tc>
        <w:tc>
          <w:tcPr>
            <w:tcW w:w="851" w:type="dxa"/>
            <w:vMerge/>
            <w:shd w:val="clear" w:color="000000" w:fill="auto"/>
            <w:vAlign w:val="center"/>
            <w:hideMark/>
          </w:tcPr>
          <w:p w:rsidR="003A1285" w:rsidRPr="008F0881" w:rsidRDefault="003A1285" w:rsidP="00770BC8">
            <w:pPr>
              <w:tabs>
                <w:tab w:val="left" w:pos="0"/>
              </w:tabs>
              <w:ind w:firstLine="103"/>
              <w:jc w:val="center"/>
              <w:rPr>
                <w:b/>
                <w:bCs/>
                <w:color w:val="000000"/>
                <w:sz w:val="18"/>
                <w:szCs w:val="18"/>
                <w:lang w:val="en-US"/>
              </w:rPr>
            </w:pPr>
          </w:p>
        </w:tc>
        <w:tc>
          <w:tcPr>
            <w:tcW w:w="992" w:type="dxa"/>
            <w:vMerge/>
            <w:shd w:val="clear" w:color="000000" w:fill="auto"/>
            <w:vAlign w:val="center"/>
            <w:hideMark/>
          </w:tcPr>
          <w:p w:rsidR="003A1285" w:rsidRPr="008F0881" w:rsidRDefault="003A1285" w:rsidP="00770BC8">
            <w:pPr>
              <w:tabs>
                <w:tab w:val="left" w:pos="0"/>
              </w:tabs>
              <w:ind w:firstLine="88"/>
              <w:jc w:val="center"/>
              <w:rPr>
                <w:b/>
                <w:bCs/>
                <w:color w:val="000000"/>
                <w:sz w:val="18"/>
                <w:szCs w:val="18"/>
                <w:lang w:val="en-US"/>
              </w:rPr>
            </w:pPr>
          </w:p>
        </w:tc>
        <w:tc>
          <w:tcPr>
            <w:tcW w:w="993" w:type="dxa"/>
            <w:vMerge/>
            <w:shd w:val="clear" w:color="000000" w:fill="auto"/>
            <w:vAlign w:val="center"/>
            <w:hideMark/>
          </w:tcPr>
          <w:p w:rsidR="003A1285" w:rsidRPr="008F0881" w:rsidRDefault="003A1285" w:rsidP="00770BC8">
            <w:pPr>
              <w:tabs>
                <w:tab w:val="left" w:pos="0"/>
              </w:tabs>
              <w:ind w:firstLine="44"/>
              <w:jc w:val="center"/>
              <w:rPr>
                <w:b/>
                <w:bCs/>
                <w:color w:val="000000"/>
                <w:sz w:val="18"/>
                <w:szCs w:val="18"/>
                <w:lang w:val="en-US"/>
              </w:rPr>
            </w:pPr>
          </w:p>
        </w:tc>
      </w:tr>
      <w:tr w:rsidR="00972A2F" w:rsidRPr="00D57D7B" w:rsidTr="000E2F90">
        <w:trPr>
          <w:trHeight w:val="371"/>
        </w:trPr>
        <w:tc>
          <w:tcPr>
            <w:tcW w:w="2835" w:type="dxa"/>
            <w:shd w:val="clear" w:color="auto" w:fill="auto"/>
            <w:hideMark/>
          </w:tcPr>
          <w:p w:rsidR="00972A2F" w:rsidRPr="008252D9" w:rsidRDefault="00972A2F" w:rsidP="00767CEF">
            <w:pPr>
              <w:jc w:val="both"/>
              <w:rPr>
                <w:b/>
                <w:sz w:val="18"/>
                <w:szCs w:val="18"/>
                <w:lang w:val="en-US"/>
              </w:rPr>
            </w:pPr>
            <w:r w:rsidRPr="008252D9">
              <w:rPr>
                <w:b/>
                <w:sz w:val="18"/>
                <w:szCs w:val="18"/>
                <w:lang w:val="en-US"/>
              </w:rPr>
              <w:t>Revenues from sales and interest income</w:t>
            </w:r>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100</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112</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2 235</w:t>
            </w:r>
          </w:p>
        </w:tc>
        <w:tc>
          <w:tcPr>
            <w:tcW w:w="851" w:type="dxa"/>
            <w:vAlign w:val="center"/>
          </w:tcPr>
          <w:p w:rsidR="00972A2F" w:rsidRPr="0009549D" w:rsidRDefault="00972A2F" w:rsidP="00617070">
            <w:pPr>
              <w:jc w:val="center"/>
              <w:rPr>
                <w:sz w:val="16"/>
                <w:szCs w:val="16"/>
              </w:rPr>
            </w:pPr>
            <w:r w:rsidRPr="0009549D">
              <w:rPr>
                <w:sz w:val="16"/>
                <w:szCs w:val="16"/>
              </w:rPr>
              <w:t>100</w:t>
            </w:r>
          </w:p>
        </w:tc>
        <w:tc>
          <w:tcPr>
            <w:tcW w:w="850" w:type="dxa"/>
            <w:vAlign w:val="center"/>
          </w:tcPr>
          <w:p w:rsidR="00972A2F" w:rsidRPr="0009549D" w:rsidRDefault="00972A2F" w:rsidP="00617070">
            <w:pPr>
              <w:jc w:val="center"/>
              <w:rPr>
                <w:sz w:val="16"/>
                <w:szCs w:val="16"/>
              </w:rPr>
            </w:pPr>
            <w:r w:rsidRPr="0009549D">
              <w:rPr>
                <w:sz w:val="16"/>
                <w:szCs w:val="16"/>
              </w:rPr>
              <w:t>112</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1 971</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264</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13</w:t>
            </w:r>
          </w:p>
        </w:tc>
      </w:tr>
      <w:tr w:rsidR="00972A2F" w:rsidRPr="00D57D7B" w:rsidTr="000E2F90">
        <w:trPr>
          <w:trHeight w:val="371"/>
        </w:trPr>
        <w:tc>
          <w:tcPr>
            <w:tcW w:w="2835" w:type="dxa"/>
            <w:shd w:val="clear" w:color="auto" w:fill="auto"/>
            <w:hideMark/>
          </w:tcPr>
          <w:p w:rsidR="00972A2F" w:rsidRPr="008252D9" w:rsidRDefault="00972A2F" w:rsidP="00767CEF">
            <w:pPr>
              <w:jc w:val="both"/>
              <w:rPr>
                <w:b/>
                <w:sz w:val="18"/>
                <w:szCs w:val="18"/>
              </w:rPr>
            </w:pPr>
            <w:proofErr w:type="spellStart"/>
            <w:r w:rsidRPr="008252D9">
              <w:rPr>
                <w:b/>
                <w:sz w:val="18"/>
                <w:szCs w:val="18"/>
              </w:rPr>
              <w:t>Expenditure</w:t>
            </w:r>
            <w:proofErr w:type="spellEnd"/>
            <w:r w:rsidRPr="008252D9">
              <w:rPr>
                <w:b/>
                <w:sz w:val="18"/>
                <w:szCs w:val="18"/>
              </w:rPr>
              <w:t xml:space="preserve"> </w:t>
            </w:r>
            <w:proofErr w:type="spellStart"/>
            <w:r w:rsidRPr="008252D9">
              <w:rPr>
                <w:b/>
                <w:sz w:val="18"/>
                <w:szCs w:val="18"/>
              </w:rPr>
              <w:t>on</w:t>
            </w:r>
            <w:proofErr w:type="spellEnd"/>
            <w:r w:rsidRPr="008252D9">
              <w:rPr>
                <w:b/>
                <w:sz w:val="18"/>
                <w:szCs w:val="18"/>
              </w:rPr>
              <w:t xml:space="preserve"> </w:t>
            </w:r>
            <w:proofErr w:type="spellStart"/>
            <w:r w:rsidRPr="008252D9">
              <w:rPr>
                <w:b/>
                <w:sz w:val="18"/>
                <w:szCs w:val="18"/>
              </w:rPr>
              <w:t>operating</w:t>
            </w:r>
            <w:proofErr w:type="spellEnd"/>
            <w:r w:rsidRPr="008252D9">
              <w:rPr>
                <w:b/>
                <w:sz w:val="18"/>
                <w:szCs w:val="18"/>
              </w:rPr>
              <w:t xml:space="preserve"> </w:t>
            </w:r>
            <w:proofErr w:type="spellStart"/>
            <w:r w:rsidRPr="008252D9">
              <w:rPr>
                <w:b/>
                <w:sz w:val="18"/>
                <w:szCs w:val="18"/>
              </w:rPr>
              <w:t>activities</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90</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100</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2 004</w:t>
            </w:r>
          </w:p>
        </w:tc>
        <w:tc>
          <w:tcPr>
            <w:tcW w:w="851" w:type="dxa"/>
            <w:vAlign w:val="center"/>
          </w:tcPr>
          <w:p w:rsidR="00972A2F" w:rsidRPr="0009549D" w:rsidRDefault="00972A2F" w:rsidP="00617070">
            <w:pPr>
              <w:jc w:val="center"/>
              <w:rPr>
                <w:sz w:val="16"/>
                <w:szCs w:val="16"/>
              </w:rPr>
            </w:pPr>
            <w:r w:rsidRPr="0009549D">
              <w:rPr>
                <w:sz w:val="16"/>
                <w:szCs w:val="16"/>
              </w:rPr>
              <w:t>89</w:t>
            </w:r>
          </w:p>
        </w:tc>
        <w:tc>
          <w:tcPr>
            <w:tcW w:w="850" w:type="dxa"/>
            <w:vAlign w:val="center"/>
          </w:tcPr>
          <w:p w:rsidR="00972A2F" w:rsidRPr="0009549D" w:rsidRDefault="00972A2F" w:rsidP="00617070">
            <w:pPr>
              <w:jc w:val="center"/>
              <w:rPr>
                <w:sz w:val="16"/>
                <w:szCs w:val="16"/>
              </w:rPr>
            </w:pPr>
            <w:r w:rsidRPr="0009549D">
              <w:rPr>
                <w:sz w:val="16"/>
                <w:szCs w:val="16"/>
              </w:rPr>
              <w:t>100</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1 760</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244</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14</w:t>
            </w:r>
          </w:p>
        </w:tc>
      </w:tr>
      <w:tr w:rsidR="00972A2F" w:rsidRPr="00D57D7B" w:rsidTr="000E2F90">
        <w:trPr>
          <w:trHeight w:val="471"/>
        </w:trPr>
        <w:tc>
          <w:tcPr>
            <w:tcW w:w="2835" w:type="dxa"/>
            <w:shd w:val="clear" w:color="auto" w:fill="auto"/>
            <w:hideMark/>
          </w:tcPr>
          <w:p w:rsidR="00972A2F" w:rsidRPr="008252D9" w:rsidRDefault="00972A2F" w:rsidP="00767CEF">
            <w:pPr>
              <w:jc w:val="both"/>
              <w:rPr>
                <w:sz w:val="18"/>
                <w:szCs w:val="18"/>
                <w:lang w:val="en-US"/>
              </w:rPr>
            </w:pPr>
            <w:r w:rsidRPr="008252D9">
              <w:rPr>
                <w:sz w:val="18"/>
                <w:szCs w:val="18"/>
                <w:lang w:val="en-US"/>
              </w:rPr>
              <w:t xml:space="preserve">  Cost of sales and interest expense</w:t>
            </w:r>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72</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81</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1 620</w:t>
            </w:r>
          </w:p>
        </w:tc>
        <w:tc>
          <w:tcPr>
            <w:tcW w:w="851" w:type="dxa"/>
            <w:vAlign w:val="center"/>
          </w:tcPr>
          <w:p w:rsidR="00972A2F" w:rsidRPr="0009549D" w:rsidRDefault="00972A2F" w:rsidP="00617070">
            <w:pPr>
              <w:jc w:val="center"/>
              <w:rPr>
                <w:sz w:val="16"/>
                <w:szCs w:val="16"/>
              </w:rPr>
            </w:pPr>
            <w:r w:rsidRPr="0009549D">
              <w:rPr>
                <w:sz w:val="16"/>
                <w:szCs w:val="16"/>
              </w:rPr>
              <w:t>69</w:t>
            </w:r>
          </w:p>
        </w:tc>
        <w:tc>
          <w:tcPr>
            <w:tcW w:w="850" w:type="dxa"/>
            <w:vAlign w:val="center"/>
          </w:tcPr>
          <w:p w:rsidR="00972A2F" w:rsidRPr="0009549D" w:rsidRDefault="00972A2F" w:rsidP="00617070">
            <w:pPr>
              <w:jc w:val="center"/>
              <w:rPr>
                <w:sz w:val="16"/>
                <w:szCs w:val="16"/>
              </w:rPr>
            </w:pPr>
            <w:r w:rsidRPr="0009549D">
              <w:rPr>
                <w:sz w:val="16"/>
                <w:szCs w:val="16"/>
              </w:rPr>
              <w:t>77</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1 351</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269</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20</w:t>
            </w:r>
          </w:p>
        </w:tc>
      </w:tr>
      <w:tr w:rsidR="00972A2F" w:rsidRPr="00D57D7B" w:rsidTr="000E2F90">
        <w:trPr>
          <w:trHeight w:val="266"/>
        </w:trPr>
        <w:tc>
          <w:tcPr>
            <w:tcW w:w="2835" w:type="dxa"/>
            <w:shd w:val="clear" w:color="auto" w:fill="auto"/>
            <w:hideMark/>
          </w:tcPr>
          <w:p w:rsidR="00972A2F" w:rsidRPr="008252D9" w:rsidRDefault="00972A2F" w:rsidP="00767CEF">
            <w:pPr>
              <w:jc w:val="both"/>
              <w:rPr>
                <w:b/>
                <w:sz w:val="18"/>
                <w:szCs w:val="18"/>
              </w:rPr>
            </w:pPr>
            <w:proofErr w:type="spellStart"/>
            <w:r w:rsidRPr="008252D9">
              <w:rPr>
                <w:b/>
                <w:sz w:val="18"/>
                <w:szCs w:val="18"/>
              </w:rPr>
              <w:t>Gross</w:t>
            </w:r>
            <w:proofErr w:type="spellEnd"/>
            <w:r w:rsidRPr="008252D9">
              <w:rPr>
                <w:b/>
                <w:sz w:val="18"/>
                <w:szCs w:val="18"/>
              </w:rPr>
              <w:t xml:space="preserve"> </w:t>
            </w:r>
            <w:proofErr w:type="spellStart"/>
            <w:r w:rsidRPr="008252D9">
              <w:rPr>
                <w:b/>
                <w:sz w:val="18"/>
                <w:szCs w:val="18"/>
              </w:rPr>
              <w:t>income</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28</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31</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615</w:t>
            </w:r>
          </w:p>
        </w:tc>
        <w:tc>
          <w:tcPr>
            <w:tcW w:w="851" w:type="dxa"/>
            <w:vAlign w:val="center"/>
          </w:tcPr>
          <w:p w:rsidR="00972A2F" w:rsidRPr="0009549D" w:rsidRDefault="00972A2F" w:rsidP="00617070">
            <w:pPr>
              <w:jc w:val="center"/>
              <w:rPr>
                <w:sz w:val="16"/>
                <w:szCs w:val="16"/>
              </w:rPr>
            </w:pPr>
            <w:r w:rsidRPr="0009549D">
              <w:rPr>
                <w:sz w:val="16"/>
                <w:szCs w:val="16"/>
              </w:rPr>
              <w:t>31</w:t>
            </w:r>
          </w:p>
        </w:tc>
        <w:tc>
          <w:tcPr>
            <w:tcW w:w="850" w:type="dxa"/>
            <w:vAlign w:val="center"/>
          </w:tcPr>
          <w:p w:rsidR="00972A2F" w:rsidRPr="0009549D" w:rsidRDefault="00972A2F" w:rsidP="00617070">
            <w:pPr>
              <w:jc w:val="center"/>
              <w:rPr>
                <w:sz w:val="16"/>
                <w:szCs w:val="16"/>
              </w:rPr>
            </w:pPr>
            <w:r w:rsidRPr="0009549D">
              <w:rPr>
                <w:sz w:val="16"/>
                <w:szCs w:val="16"/>
              </w:rPr>
              <w:t>35</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620</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-5</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-1</w:t>
            </w:r>
          </w:p>
        </w:tc>
      </w:tr>
      <w:tr w:rsidR="00972A2F" w:rsidRPr="00D57D7B" w:rsidTr="000E2F90">
        <w:trPr>
          <w:trHeight w:val="214"/>
        </w:trPr>
        <w:tc>
          <w:tcPr>
            <w:tcW w:w="2835" w:type="dxa"/>
            <w:shd w:val="clear" w:color="auto" w:fill="auto"/>
            <w:hideMark/>
          </w:tcPr>
          <w:p w:rsidR="00972A2F" w:rsidRPr="008252D9" w:rsidRDefault="00972A2F" w:rsidP="00767CEF">
            <w:pPr>
              <w:jc w:val="both"/>
              <w:rPr>
                <w:sz w:val="18"/>
                <w:szCs w:val="18"/>
              </w:rPr>
            </w:pPr>
            <w:proofErr w:type="spellStart"/>
            <w:r w:rsidRPr="008252D9">
              <w:rPr>
                <w:sz w:val="18"/>
                <w:szCs w:val="18"/>
              </w:rPr>
              <w:t>General</w:t>
            </w:r>
            <w:proofErr w:type="spellEnd"/>
            <w:r w:rsidRPr="008252D9">
              <w:rPr>
                <w:sz w:val="18"/>
                <w:szCs w:val="18"/>
              </w:rPr>
              <w:t xml:space="preserve"> </w:t>
            </w:r>
            <w:proofErr w:type="spellStart"/>
            <w:r w:rsidRPr="008252D9">
              <w:rPr>
                <w:sz w:val="18"/>
                <w:szCs w:val="18"/>
              </w:rPr>
              <w:t>administrative</w:t>
            </w:r>
            <w:proofErr w:type="spellEnd"/>
            <w:r w:rsidRPr="008252D9">
              <w:rPr>
                <w:sz w:val="18"/>
                <w:szCs w:val="18"/>
              </w:rPr>
              <w:t xml:space="preserve"> </w:t>
            </w:r>
            <w:proofErr w:type="spellStart"/>
            <w:r w:rsidRPr="008252D9">
              <w:rPr>
                <w:sz w:val="18"/>
                <w:szCs w:val="18"/>
              </w:rPr>
              <w:t>expenses</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6</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7</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139</w:t>
            </w:r>
          </w:p>
        </w:tc>
        <w:tc>
          <w:tcPr>
            <w:tcW w:w="851" w:type="dxa"/>
            <w:vAlign w:val="center"/>
          </w:tcPr>
          <w:p w:rsidR="00972A2F" w:rsidRPr="0009549D" w:rsidRDefault="00972A2F" w:rsidP="00617070">
            <w:pPr>
              <w:jc w:val="center"/>
              <w:rPr>
                <w:sz w:val="16"/>
                <w:szCs w:val="16"/>
              </w:rPr>
            </w:pPr>
            <w:r w:rsidRPr="0009549D">
              <w:rPr>
                <w:sz w:val="16"/>
                <w:szCs w:val="16"/>
              </w:rPr>
              <w:t>7</w:t>
            </w:r>
          </w:p>
        </w:tc>
        <w:tc>
          <w:tcPr>
            <w:tcW w:w="850" w:type="dxa"/>
            <w:vAlign w:val="center"/>
          </w:tcPr>
          <w:p w:rsidR="00972A2F" w:rsidRPr="0009549D" w:rsidRDefault="00972A2F" w:rsidP="00617070">
            <w:pPr>
              <w:jc w:val="center"/>
              <w:rPr>
                <w:sz w:val="16"/>
                <w:szCs w:val="16"/>
              </w:rPr>
            </w:pPr>
            <w:r w:rsidRPr="0009549D">
              <w:rPr>
                <w:sz w:val="16"/>
                <w:szCs w:val="16"/>
              </w:rPr>
              <w:t>8</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147</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-8</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-5</w:t>
            </w:r>
          </w:p>
        </w:tc>
      </w:tr>
      <w:tr w:rsidR="00972A2F" w:rsidRPr="00D57D7B" w:rsidTr="000E2F90">
        <w:trPr>
          <w:trHeight w:val="415"/>
        </w:trPr>
        <w:tc>
          <w:tcPr>
            <w:tcW w:w="2835" w:type="dxa"/>
            <w:shd w:val="clear" w:color="auto" w:fill="auto"/>
            <w:hideMark/>
          </w:tcPr>
          <w:p w:rsidR="00972A2F" w:rsidRPr="008252D9" w:rsidRDefault="00972A2F" w:rsidP="00767CEF">
            <w:pPr>
              <w:jc w:val="both"/>
              <w:rPr>
                <w:sz w:val="18"/>
                <w:szCs w:val="18"/>
              </w:rPr>
            </w:pPr>
            <w:proofErr w:type="spellStart"/>
            <w:r w:rsidRPr="008252D9">
              <w:rPr>
                <w:sz w:val="18"/>
                <w:szCs w:val="18"/>
              </w:rPr>
              <w:t>Shipping</w:t>
            </w:r>
            <w:proofErr w:type="spellEnd"/>
            <w:r w:rsidRPr="008252D9">
              <w:rPr>
                <w:sz w:val="18"/>
                <w:szCs w:val="18"/>
              </w:rPr>
              <w:t xml:space="preserve"> </w:t>
            </w:r>
            <w:proofErr w:type="spellStart"/>
            <w:r w:rsidRPr="008252D9">
              <w:rPr>
                <w:sz w:val="18"/>
                <w:szCs w:val="18"/>
              </w:rPr>
              <w:t>costs</w:t>
            </w:r>
            <w:proofErr w:type="spellEnd"/>
            <w:r w:rsidRPr="008252D9">
              <w:rPr>
                <w:sz w:val="18"/>
                <w:szCs w:val="18"/>
              </w:rPr>
              <w:t xml:space="preserve"> </w:t>
            </w:r>
            <w:proofErr w:type="spellStart"/>
            <w:r w:rsidRPr="008252D9">
              <w:rPr>
                <w:sz w:val="18"/>
                <w:szCs w:val="18"/>
              </w:rPr>
              <w:t>and</w:t>
            </w:r>
            <w:proofErr w:type="spellEnd"/>
            <w:r w:rsidRPr="008252D9">
              <w:rPr>
                <w:sz w:val="18"/>
                <w:szCs w:val="18"/>
              </w:rPr>
              <w:t xml:space="preserve"> </w:t>
            </w:r>
            <w:proofErr w:type="spellStart"/>
            <w:r w:rsidRPr="008252D9">
              <w:rPr>
                <w:sz w:val="18"/>
                <w:szCs w:val="18"/>
              </w:rPr>
              <w:t>sales</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8</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9</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188</w:t>
            </w:r>
          </w:p>
        </w:tc>
        <w:tc>
          <w:tcPr>
            <w:tcW w:w="851" w:type="dxa"/>
            <w:vAlign w:val="center"/>
          </w:tcPr>
          <w:p w:rsidR="00972A2F" w:rsidRPr="0009549D" w:rsidRDefault="00972A2F" w:rsidP="00617070">
            <w:pPr>
              <w:jc w:val="center"/>
              <w:rPr>
                <w:sz w:val="16"/>
                <w:szCs w:val="16"/>
              </w:rPr>
            </w:pPr>
            <w:r w:rsidRPr="0009549D">
              <w:rPr>
                <w:sz w:val="16"/>
                <w:szCs w:val="16"/>
              </w:rPr>
              <w:t>10</w:t>
            </w:r>
          </w:p>
        </w:tc>
        <w:tc>
          <w:tcPr>
            <w:tcW w:w="850" w:type="dxa"/>
            <w:vAlign w:val="center"/>
          </w:tcPr>
          <w:p w:rsidR="00972A2F" w:rsidRPr="0009549D" w:rsidRDefault="00972A2F" w:rsidP="00617070">
            <w:pPr>
              <w:jc w:val="center"/>
              <w:rPr>
                <w:sz w:val="16"/>
                <w:szCs w:val="16"/>
              </w:rPr>
            </w:pPr>
            <w:r w:rsidRPr="0009549D">
              <w:rPr>
                <w:sz w:val="16"/>
                <w:szCs w:val="16"/>
              </w:rPr>
              <w:t>11</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201</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-13</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-6</w:t>
            </w:r>
          </w:p>
        </w:tc>
      </w:tr>
      <w:tr w:rsidR="00972A2F" w:rsidRPr="00D57D7B" w:rsidTr="000E2F90">
        <w:trPr>
          <w:trHeight w:val="191"/>
        </w:trPr>
        <w:tc>
          <w:tcPr>
            <w:tcW w:w="2835" w:type="dxa"/>
            <w:shd w:val="clear" w:color="auto" w:fill="auto"/>
            <w:hideMark/>
          </w:tcPr>
          <w:p w:rsidR="00972A2F" w:rsidRPr="008252D9" w:rsidRDefault="00972A2F" w:rsidP="00767CEF">
            <w:pPr>
              <w:jc w:val="both"/>
              <w:rPr>
                <w:sz w:val="18"/>
                <w:szCs w:val="18"/>
                <w:lang w:val="en-US"/>
              </w:rPr>
            </w:pPr>
            <w:proofErr w:type="spellStart"/>
            <w:r w:rsidRPr="008252D9">
              <w:rPr>
                <w:sz w:val="18"/>
                <w:szCs w:val="18"/>
              </w:rPr>
              <w:t>Losses</w:t>
            </w:r>
            <w:proofErr w:type="spellEnd"/>
            <w:r>
              <w:rPr>
                <w:sz w:val="18"/>
                <w:szCs w:val="18"/>
                <w:lang w:val="en-US"/>
              </w:rPr>
              <w:t xml:space="preserve"> </w:t>
            </w:r>
            <w:r w:rsidRPr="008252D9">
              <w:rPr>
                <w:sz w:val="18"/>
                <w:szCs w:val="18"/>
              </w:rPr>
              <w:t xml:space="preserve"> </w:t>
            </w:r>
            <w:proofErr w:type="spellStart"/>
            <w:r w:rsidRPr="008252D9">
              <w:rPr>
                <w:sz w:val="18"/>
                <w:szCs w:val="18"/>
              </w:rPr>
              <w:t>on</w:t>
            </w:r>
            <w:proofErr w:type="spellEnd"/>
            <w:r w:rsidRPr="008252D9">
              <w:rPr>
                <w:sz w:val="18"/>
                <w:szCs w:val="18"/>
              </w:rPr>
              <w:t xml:space="preserve"> </w:t>
            </w:r>
            <w:proofErr w:type="spellStart"/>
            <w:r w:rsidRPr="008252D9">
              <w:rPr>
                <w:sz w:val="18"/>
                <w:szCs w:val="18"/>
              </w:rPr>
              <w:t>assets</w:t>
            </w:r>
            <w:proofErr w:type="spellEnd"/>
            <w:r>
              <w:rPr>
                <w:sz w:val="18"/>
                <w:szCs w:val="18"/>
                <w:lang w:val="en-US"/>
              </w:rPr>
              <w:t xml:space="preserve"> i</w:t>
            </w:r>
            <w:proofErr w:type="spellStart"/>
            <w:r w:rsidRPr="008252D9">
              <w:rPr>
                <w:sz w:val="18"/>
                <w:szCs w:val="18"/>
              </w:rPr>
              <w:t>mpairment</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2</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3</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54</w:t>
            </w:r>
          </w:p>
        </w:tc>
        <w:tc>
          <w:tcPr>
            <w:tcW w:w="851" w:type="dxa"/>
            <w:vAlign w:val="center"/>
          </w:tcPr>
          <w:p w:rsidR="00972A2F" w:rsidRPr="0009549D" w:rsidRDefault="00972A2F" w:rsidP="00617070">
            <w:pPr>
              <w:jc w:val="center"/>
              <w:rPr>
                <w:sz w:val="16"/>
                <w:szCs w:val="16"/>
              </w:rPr>
            </w:pPr>
            <w:r w:rsidRPr="0009549D">
              <w:rPr>
                <w:sz w:val="16"/>
                <w:szCs w:val="16"/>
              </w:rPr>
              <w:t>3</w:t>
            </w:r>
          </w:p>
        </w:tc>
        <w:tc>
          <w:tcPr>
            <w:tcW w:w="850" w:type="dxa"/>
            <w:vAlign w:val="center"/>
          </w:tcPr>
          <w:p w:rsidR="00972A2F" w:rsidRPr="0009549D" w:rsidRDefault="00972A2F" w:rsidP="00617070">
            <w:pPr>
              <w:jc w:val="center"/>
              <w:rPr>
                <w:sz w:val="16"/>
                <w:szCs w:val="16"/>
              </w:rPr>
            </w:pPr>
            <w:r w:rsidRPr="0009549D">
              <w:rPr>
                <w:sz w:val="16"/>
                <w:szCs w:val="16"/>
              </w:rPr>
              <w:t>3</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53</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1</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2</w:t>
            </w:r>
          </w:p>
        </w:tc>
      </w:tr>
      <w:tr w:rsidR="00972A2F" w:rsidRPr="00D57D7B" w:rsidTr="000E2F90">
        <w:trPr>
          <w:trHeight w:val="191"/>
        </w:trPr>
        <w:tc>
          <w:tcPr>
            <w:tcW w:w="2835" w:type="dxa"/>
            <w:shd w:val="clear" w:color="auto" w:fill="auto"/>
          </w:tcPr>
          <w:p w:rsidR="00972A2F" w:rsidRPr="00972A2F" w:rsidRDefault="00972A2F" w:rsidP="00767CEF">
            <w:pPr>
              <w:jc w:val="both"/>
              <w:rPr>
                <w:sz w:val="18"/>
                <w:szCs w:val="18"/>
                <w:lang w:val="en-US"/>
              </w:rPr>
            </w:pPr>
            <w:r>
              <w:rPr>
                <w:sz w:val="18"/>
                <w:szCs w:val="18"/>
                <w:lang w:val="en-US"/>
              </w:rPr>
              <w:t xml:space="preserve">Recovery of </w:t>
            </w:r>
            <w:proofErr w:type="spellStart"/>
            <w:r w:rsidRPr="008252D9">
              <w:rPr>
                <w:sz w:val="18"/>
                <w:szCs w:val="18"/>
              </w:rPr>
              <w:t>assets</w:t>
            </w:r>
            <w:proofErr w:type="spellEnd"/>
            <w:r>
              <w:rPr>
                <w:sz w:val="18"/>
                <w:szCs w:val="18"/>
                <w:lang w:val="en-US"/>
              </w:rPr>
              <w:t xml:space="preserve"> i</w:t>
            </w:r>
            <w:proofErr w:type="spellStart"/>
            <w:r w:rsidRPr="008252D9">
              <w:rPr>
                <w:sz w:val="18"/>
                <w:szCs w:val="18"/>
              </w:rPr>
              <w:t>mpairment</w:t>
            </w:r>
            <w:proofErr w:type="spellEnd"/>
          </w:p>
        </w:tc>
        <w:tc>
          <w:tcPr>
            <w:tcW w:w="709" w:type="dxa"/>
            <w:shd w:val="clear" w:color="auto" w:fill="auto"/>
            <w:vAlign w:val="center"/>
          </w:tcPr>
          <w:p w:rsidR="00972A2F" w:rsidRPr="0009549D" w:rsidRDefault="00972A2F" w:rsidP="00617070">
            <w:pPr>
              <w:jc w:val="center"/>
              <w:rPr>
                <w:sz w:val="16"/>
                <w:szCs w:val="16"/>
              </w:rPr>
            </w:pPr>
            <w:r w:rsidRPr="0009549D">
              <w:rPr>
                <w:sz w:val="16"/>
                <w:szCs w:val="16"/>
              </w:rPr>
              <w:t>2</w:t>
            </w:r>
          </w:p>
        </w:tc>
        <w:tc>
          <w:tcPr>
            <w:tcW w:w="845" w:type="dxa"/>
            <w:shd w:val="clear" w:color="auto" w:fill="auto"/>
            <w:vAlign w:val="center"/>
          </w:tcPr>
          <w:p w:rsidR="00972A2F" w:rsidRPr="0009549D" w:rsidRDefault="00972A2F" w:rsidP="00617070">
            <w:pPr>
              <w:jc w:val="center"/>
              <w:rPr>
                <w:sz w:val="16"/>
                <w:szCs w:val="16"/>
              </w:rPr>
            </w:pPr>
            <w:r w:rsidRPr="0009549D">
              <w:rPr>
                <w:sz w:val="16"/>
                <w:szCs w:val="16"/>
              </w:rPr>
              <w:t>2</w:t>
            </w:r>
          </w:p>
        </w:tc>
        <w:tc>
          <w:tcPr>
            <w:tcW w:w="856" w:type="dxa"/>
            <w:shd w:val="clear" w:color="auto" w:fill="auto"/>
            <w:noWrap/>
            <w:vAlign w:val="center"/>
          </w:tcPr>
          <w:p w:rsidR="00972A2F" w:rsidRPr="0009549D" w:rsidRDefault="00972A2F" w:rsidP="00617070">
            <w:pPr>
              <w:jc w:val="center"/>
              <w:rPr>
                <w:sz w:val="16"/>
                <w:szCs w:val="16"/>
              </w:rPr>
            </w:pPr>
            <w:r w:rsidRPr="0009549D">
              <w:rPr>
                <w:sz w:val="16"/>
                <w:szCs w:val="16"/>
              </w:rPr>
              <w:t>35</w:t>
            </w:r>
          </w:p>
        </w:tc>
        <w:tc>
          <w:tcPr>
            <w:tcW w:w="851" w:type="dxa"/>
            <w:vAlign w:val="center"/>
          </w:tcPr>
          <w:p w:rsidR="00972A2F" w:rsidRPr="0009549D" w:rsidRDefault="00972A2F" w:rsidP="00617070">
            <w:pPr>
              <w:jc w:val="center"/>
              <w:rPr>
                <w:sz w:val="16"/>
                <w:szCs w:val="16"/>
              </w:rPr>
            </w:pPr>
            <w:r w:rsidRPr="0009549D">
              <w:rPr>
                <w:sz w:val="16"/>
                <w:szCs w:val="16"/>
              </w:rPr>
              <w:t>2</w:t>
            </w:r>
          </w:p>
        </w:tc>
        <w:tc>
          <w:tcPr>
            <w:tcW w:w="850" w:type="dxa"/>
            <w:vAlign w:val="center"/>
          </w:tcPr>
          <w:p w:rsidR="00972A2F" w:rsidRPr="0009549D" w:rsidRDefault="00972A2F" w:rsidP="00617070">
            <w:pPr>
              <w:jc w:val="center"/>
              <w:rPr>
                <w:sz w:val="16"/>
                <w:szCs w:val="16"/>
              </w:rPr>
            </w:pPr>
            <w:r w:rsidRPr="0009549D">
              <w:rPr>
                <w:sz w:val="16"/>
                <w:szCs w:val="16"/>
              </w:rPr>
              <w:t>2</w:t>
            </w:r>
          </w:p>
        </w:tc>
        <w:tc>
          <w:tcPr>
            <w:tcW w:w="851" w:type="dxa"/>
            <w:shd w:val="clear" w:color="auto" w:fill="auto"/>
            <w:noWrap/>
            <w:vAlign w:val="center"/>
          </w:tcPr>
          <w:p w:rsidR="00972A2F" w:rsidRPr="0009549D" w:rsidRDefault="00972A2F" w:rsidP="00617070">
            <w:pPr>
              <w:jc w:val="center"/>
              <w:rPr>
                <w:sz w:val="16"/>
                <w:szCs w:val="16"/>
              </w:rPr>
            </w:pPr>
            <w:r w:rsidRPr="0009549D">
              <w:rPr>
                <w:sz w:val="16"/>
                <w:szCs w:val="16"/>
              </w:rPr>
              <w:t>37</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 </w:t>
            </w:r>
          </w:p>
        </w:tc>
      </w:tr>
      <w:tr w:rsidR="00972A2F" w:rsidRPr="00D57D7B" w:rsidTr="000E2F90">
        <w:trPr>
          <w:trHeight w:val="191"/>
        </w:trPr>
        <w:tc>
          <w:tcPr>
            <w:tcW w:w="2835" w:type="dxa"/>
            <w:shd w:val="clear" w:color="auto" w:fill="auto"/>
          </w:tcPr>
          <w:p w:rsidR="00972A2F" w:rsidRDefault="00972A2F" w:rsidP="00767CEF">
            <w:pPr>
              <w:jc w:val="both"/>
              <w:rPr>
                <w:sz w:val="18"/>
                <w:szCs w:val="18"/>
                <w:lang w:val="en-US"/>
              </w:rPr>
            </w:pPr>
            <w:r>
              <w:rPr>
                <w:sz w:val="18"/>
                <w:szCs w:val="18"/>
                <w:lang w:val="en-US"/>
              </w:rPr>
              <w:t>Other operating loss</w:t>
            </w:r>
          </w:p>
        </w:tc>
        <w:tc>
          <w:tcPr>
            <w:tcW w:w="709" w:type="dxa"/>
            <w:shd w:val="clear" w:color="auto" w:fill="auto"/>
            <w:vAlign w:val="center"/>
          </w:tcPr>
          <w:p w:rsidR="00972A2F" w:rsidRPr="0009549D" w:rsidRDefault="00972A2F" w:rsidP="00617070">
            <w:pPr>
              <w:jc w:val="center"/>
              <w:rPr>
                <w:sz w:val="16"/>
                <w:szCs w:val="16"/>
              </w:rPr>
            </w:pPr>
            <w:r w:rsidRPr="0009549D">
              <w:rPr>
                <w:sz w:val="16"/>
                <w:szCs w:val="16"/>
              </w:rPr>
              <w:t>0</w:t>
            </w:r>
          </w:p>
        </w:tc>
        <w:tc>
          <w:tcPr>
            <w:tcW w:w="845" w:type="dxa"/>
            <w:shd w:val="clear" w:color="auto" w:fill="auto"/>
            <w:vAlign w:val="center"/>
          </w:tcPr>
          <w:p w:rsidR="00972A2F" w:rsidRPr="0009549D" w:rsidRDefault="00972A2F" w:rsidP="00617070">
            <w:pPr>
              <w:jc w:val="center"/>
              <w:rPr>
                <w:sz w:val="16"/>
                <w:szCs w:val="16"/>
              </w:rPr>
            </w:pPr>
            <w:r w:rsidRPr="0009549D">
              <w:rPr>
                <w:sz w:val="16"/>
                <w:szCs w:val="16"/>
              </w:rPr>
              <w:t>0</w:t>
            </w:r>
          </w:p>
        </w:tc>
        <w:tc>
          <w:tcPr>
            <w:tcW w:w="856" w:type="dxa"/>
            <w:shd w:val="clear" w:color="auto" w:fill="auto"/>
            <w:noWrap/>
            <w:vAlign w:val="center"/>
          </w:tcPr>
          <w:p w:rsidR="00972A2F" w:rsidRPr="0009549D" w:rsidRDefault="00972A2F" w:rsidP="00617070">
            <w:pPr>
              <w:jc w:val="center"/>
              <w:rPr>
                <w:sz w:val="16"/>
                <w:szCs w:val="16"/>
              </w:rPr>
            </w:pPr>
            <w:r w:rsidRPr="0009549D">
              <w:rPr>
                <w:sz w:val="16"/>
                <w:szCs w:val="16"/>
              </w:rPr>
              <w:t>2</w:t>
            </w:r>
          </w:p>
        </w:tc>
        <w:tc>
          <w:tcPr>
            <w:tcW w:w="851" w:type="dxa"/>
            <w:vAlign w:val="center"/>
          </w:tcPr>
          <w:p w:rsidR="00972A2F" w:rsidRPr="0009549D" w:rsidRDefault="00972A2F" w:rsidP="00617070">
            <w:pPr>
              <w:jc w:val="center"/>
              <w:rPr>
                <w:sz w:val="16"/>
                <w:szCs w:val="16"/>
              </w:rPr>
            </w:pPr>
            <w:r w:rsidRPr="0009549D">
              <w:rPr>
                <w:sz w:val="16"/>
                <w:szCs w:val="16"/>
              </w:rPr>
              <w:t>0</w:t>
            </w:r>
          </w:p>
        </w:tc>
        <w:tc>
          <w:tcPr>
            <w:tcW w:w="850" w:type="dxa"/>
            <w:vAlign w:val="center"/>
          </w:tcPr>
          <w:p w:rsidR="00972A2F" w:rsidRPr="0009549D" w:rsidRDefault="00972A2F" w:rsidP="00617070">
            <w:pPr>
              <w:jc w:val="center"/>
              <w:rPr>
                <w:sz w:val="16"/>
                <w:szCs w:val="16"/>
              </w:rPr>
            </w:pPr>
            <w:r w:rsidRPr="0009549D">
              <w:rPr>
                <w:sz w:val="16"/>
                <w:szCs w:val="16"/>
              </w:rPr>
              <w:t>0</w:t>
            </w:r>
          </w:p>
        </w:tc>
        <w:tc>
          <w:tcPr>
            <w:tcW w:w="851" w:type="dxa"/>
            <w:shd w:val="clear" w:color="auto" w:fill="auto"/>
            <w:noWrap/>
            <w:vAlign w:val="center"/>
          </w:tcPr>
          <w:p w:rsidR="00972A2F" w:rsidRPr="0009549D" w:rsidRDefault="00972A2F" w:rsidP="00617070">
            <w:pPr>
              <w:jc w:val="center"/>
              <w:rPr>
                <w:sz w:val="16"/>
                <w:szCs w:val="16"/>
              </w:rPr>
            </w:pPr>
            <w:r w:rsidRPr="0009549D">
              <w:rPr>
                <w:sz w:val="16"/>
                <w:szCs w:val="16"/>
              </w:rPr>
              <w:t>8</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-6</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-75</w:t>
            </w:r>
          </w:p>
        </w:tc>
      </w:tr>
      <w:tr w:rsidR="00972A2F" w:rsidRPr="00D57D7B" w:rsidTr="000E2F90">
        <w:trPr>
          <w:trHeight w:val="466"/>
        </w:trPr>
        <w:tc>
          <w:tcPr>
            <w:tcW w:w="2835" w:type="dxa"/>
            <w:shd w:val="clear" w:color="auto" w:fill="auto"/>
            <w:hideMark/>
          </w:tcPr>
          <w:p w:rsidR="00972A2F" w:rsidRPr="008252D9" w:rsidRDefault="00972A2F" w:rsidP="00767CEF">
            <w:pPr>
              <w:jc w:val="both"/>
              <w:rPr>
                <w:b/>
                <w:sz w:val="18"/>
                <w:szCs w:val="18"/>
              </w:rPr>
            </w:pPr>
            <w:r w:rsidRPr="008252D9">
              <w:rPr>
                <w:sz w:val="18"/>
                <w:szCs w:val="18"/>
              </w:rPr>
              <w:t xml:space="preserve">  </w:t>
            </w:r>
            <w:proofErr w:type="spellStart"/>
            <w:r w:rsidRPr="008252D9">
              <w:rPr>
                <w:b/>
                <w:sz w:val="18"/>
                <w:szCs w:val="18"/>
              </w:rPr>
              <w:t>Income</w:t>
            </w:r>
            <w:proofErr w:type="spellEnd"/>
            <w:r w:rsidRPr="008252D9">
              <w:rPr>
                <w:b/>
                <w:sz w:val="18"/>
                <w:szCs w:val="18"/>
              </w:rPr>
              <w:t xml:space="preserve"> (</w:t>
            </w:r>
            <w:proofErr w:type="spellStart"/>
            <w:r w:rsidRPr="008252D9">
              <w:rPr>
                <w:b/>
                <w:sz w:val="18"/>
                <w:szCs w:val="18"/>
              </w:rPr>
              <w:t>loss</w:t>
            </w:r>
            <w:proofErr w:type="spellEnd"/>
            <w:r w:rsidRPr="008252D9">
              <w:rPr>
                <w:b/>
                <w:sz w:val="18"/>
                <w:szCs w:val="18"/>
              </w:rPr>
              <w:t xml:space="preserve">) </w:t>
            </w:r>
            <w:proofErr w:type="spellStart"/>
            <w:r w:rsidRPr="008252D9">
              <w:rPr>
                <w:b/>
                <w:sz w:val="18"/>
                <w:szCs w:val="18"/>
              </w:rPr>
              <w:t>from</w:t>
            </w:r>
            <w:proofErr w:type="spellEnd"/>
            <w:r w:rsidRPr="008252D9">
              <w:rPr>
                <w:b/>
                <w:sz w:val="18"/>
                <w:szCs w:val="18"/>
              </w:rPr>
              <w:t xml:space="preserve"> </w:t>
            </w:r>
            <w:proofErr w:type="spellStart"/>
            <w:r w:rsidRPr="008252D9">
              <w:rPr>
                <w:b/>
                <w:sz w:val="18"/>
                <w:szCs w:val="18"/>
              </w:rPr>
              <w:t>operations</w:t>
            </w:r>
            <w:proofErr w:type="spellEnd"/>
          </w:p>
        </w:tc>
        <w:tc>
          <w:tcPr>
            <w:tcW w:w="709" w:type="dxa"/>
            <w:shd w:val="clear" w:color="auto" w:fill="auto"/>
            <w:vAlign w:val="center"/>
            <w:hideMark/>
          </w:tcPr>
          <w:p w:rsidR="00972A2F" w:rsidRPr="0009549D" w:rsidRDefault="00972A2F" w:rsidP="00617070">
            <w:pPr>
              <w:jc w:val="center"/>
              <w:rPr>
                <w:sz w:val="16"/>
                <w:szCs w:val="16"/>
              </w:rPr>
            </w:pPr>
            <w:r w:rsidRPr="0009549D">
              <w:rPr>
                <w:sz w:val="16"/>
                <w:szCs w:val="16"/>
              </w:rPr>
              <w:t>12</w:t>
            </w:r>
          </w:p>
        </w:tc>
        <w:tc>
          <w:tcPr>
            <w:tcW w:w="845" w:type="dxa"/>
            <w:shd w:val="clear" w:color="auto" w:fill="auto"/>
            <w:vAlign w:val="center"/>
            <w:hideMark/>
          </w:tcPr>
          <w:p w:rsidR="00972A2F" w:rsidRPr="0009549D" w:rsidRDefault="00972A2F" w:rsidP="00617070">
            <w:pPr>
              <w:jc w:val="center"/>
              <w:rPr>
                <w:sz w:val="16"/>
                <w:szCs w:val="16"/>
              </w:rPr>
            </w:pPr>
            <w:r w:rsidRPr="0009549D">
              <w:rPr>
                <w:sz w:val="16"/>
                <w:szCs w:val="16"/>
              </w:rPr>
              <w:t>13</w:t>
            </w:r>
          </w:p>
        </w:tc>
        <w:tc>
          <w:tcPr>
            <w:tcW w:w="856" w:type="dxa"/>
            <w:shd w:val="clear" w:color="auto" w:fill="auto"/>
            <w:noWrap/>
            <w:vAlign w:val="center"/>
            <w:hideMark/>
          </w:tcPr>
          <w:p w:rsidR="00972A2F" w:rsidRPr="0009549D" w:rsidRDefault="00972A2F" w:rsidP="00617070">
            <w:pPr>
              <w:jc w:val="center"/>
              <w:rPr>
                <w:sz w:val="16"/>
                <w:szCs w:val="16"/>
              </w:rPr>
            </w:pPr>
            <w:r w:rsidRPr="0009549D">
              <w:rPr>
                <w:sz w:val="16"/>
                <w:szCs w:val="16"/>
              </w:rPr>
              <w:t>267</w:t>
            </w:r>
          </w:p>
        </w:tc>
        <w:tc>
          <w:tcPr>
            <w:tcW w:w="851" w:type="dxa"/>
            <w:vAlign w:val="center"/>
          </w:tcPr>
          <w:p w:rsidR="00972A2F" w:rsidRPr="0009549D" w:rsidRDefault="00972A2F" w:rsidP="00617070">
            <w:pPr>
              <w:jc w:val="center"/>
              <w:rPr>
                <w:sz w:val="16"/>
                <w:szCs w:val="16"/>
              </w:rPr>
            </w:pPr>
            <w:r w:rsidRPr="0009549D">
              <w:rPr>
                <w:sz w:val="16"/>
                <w:szCs w:val="16"/>
              </w:rPr>
              <w:t>13</w:t>
            </w:r>
          </w:p>
        </w:tc>
        <w:tc>
          <w:tcPr>
            <w:tcW w:w="850" w:type="dxa"/>
            <w:vAlign w:val="center"/>
          </w:tcPr>
          <w:p w:rsidR="00972A2F" w:rsidRPr="0009549D" w:rsidRDefault="00972A2F" w:rsidP="00617070">
            <w:pPr>
              <w:jc w:val="center"/>
              <w:rPr>
                <w:sz w:val="16"/>
                <w:szCs w:val="16"/>
              </w:rPr>
            </w:pPr>
            <w:r w:rsidRPr="0009549D">
              <w:rPr>
                <w:sz w:val="16"/>
                <w:szCs w:val="16"/>
              </w:rPr>
              <w:t>14</w:t>
            </w:r>
          </w:p>
        </w:tc>
        <w:tc>
          <w:tcPr>
            <w:tcW w:w="851" w:type="dxa"/>
            <w:shd w:val="clear" w:color="auto" w:fill="auto"/>
            <w:noWrap/>
            <w:vAlign w:val="center"/>
            <w:hideMark/>
          </w:tcPr>
          <w:p w:rsidR="00972A2F" w:rsidRPr="0009549D" w:rsidRDefault="00972A2F" w:rsidP="00617070">
            <w:pPr>
              <w:jc w:val="center"/>
              <w:rPr>
                <w:sz w:val="16"/>
                <w:szCs w:val="16"/>
              </w:rPr>
            </w:pPr>
            <w:r w:rsidRPr="0009549D">
              <w:rPr>
                <w:sz w:val="16"/>
                <w:szCs w:val="16"/>
              </w:rPr>
              <w:t>247</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20</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8</w:t>
            </w:r>
          </w:p>
        </w:tc>
      </w:tr>
      <w:tr w:rsidR="00972A2F" w:rsidRPr="00D57D7B" w:rsidTr="000E2F90">
        <w:trPr>
          <w:trHeight w:val="557"/>
        </w:trPr>
        <w:tc>
          <w:tcPr>
            <w:tcW w:w="2835" w:type="dxa"/>
            <w:shd w:val="clear" w:color="auto" w:fill="auto"/>
          </w:tcPr>
          <w:p w:rsidR="00972A2F" w:rsidRPr="008252D9" w:rsidRDefault="00972A2F" w:rsidP="00767CEF">
            <w:pPr>
              <w:jc w:val="both"/>
              <w:rPr>
                <w:sz w:val="18"/>
                <w:szCs w:val="18"/>
                <w:lang w:val="en-US"/>
              </w:rPr>
            </w:pPr>
            <w:r w:rsidRPr="008252D9">
              <w:rPr>
                <w:sz w:val="18"/>
                <w:szCs w:val="18"/>
                <w:lang w:val="en-US"/>
              </w:rPr>
              <w:t>Equity income from associates and joint ventures</w:t>
            </w:r>
          </w:p>
        </w:tc>
        <w:tc>
          <w:tcPr>
            <w:tcW w:w="709" w:type="dxa"/>
            <w:shd w:val="clear" w:color="auto" w:fill="auto"/>
            <w:vAlign w:val="center"/>
          </w:tcPr>
          <w:p w:rsidR="00972A2F" w:rsidRPr="0009549D" w:rsidRDefault="00972A2F" w:rsidP="00617070">
            <w:pPr>
              <w:jc w:val="center"/>
              <w:rPr>
                <w:sz w:val="16"/>
                <w:szCs w:val="16"/>
              </w:rPr>
            </w:pPr>
            <w:r w:rsidRPr="0009549D">
              <w:rPr>
                <w:sz w:val="16"/>
                <w:szCs w:val="16"/>
              </w:rPr>
              <w:t>13</w:t>
            </w:r>
          </w:p>
        </w:tc>
        <w:tc>
          <w:tcPr>
            <w:tcW w:w="845" w:type="dxa"/>
            <w:shd w:val="clear" w:color="auto" w:fill="auto"/>
            <w:vAlign w:val="center"/>
          </w:tcPr>
          <w:p w:rsidR="00972A2F" w:rsidRPr="0009549D" w:rsidRDefault="00972A2F" w:rsidP="00617070">
            <w:pPr>
              <w:jc w:val="center"/>
              <w:rPr>
                <w:sz w:val="16"/>
                <w:szCs w:val="16"/>
              </w:rPr>
            </w:pPr>
            <w:r w:rsidRPr="0009549D">
              <w:rPr>
                <w:sz w:val="16"/>
                <w:szCs w:val="16"/>
              </w:rPr>
              <w:t>14</w:t>
            </w:r>
          </w:p>
        </w:tc>
        <w:tc>
          <w:tcPr>
            <w:tcW w:w="856" w:type="dxa"/>
            <w:shd w:val="clear" w:color="auto" w:fill="auto"/>
            <w:noWrap/>
            <w:vAlign w:val="center"/>
          </w:tcPr>
          <w:p w:rsidR="00972A2F" w:rsidRPr="0009549D" w:rsidRDefault="00972A2F" w:rsidP="00617070">
            <w:pPr>
              <w:jc w:val="center"/>
              <w:rPr>
                <w:sz w:val="16"/>
                <w:szCs w:val="16"/>
              </w:rPr>
            </w:pPr>
            <w:r w:rsidRPr="0009549D">
              <w:rPr>
                <w:sz w:val="16"/>
                <w:szCs w:val="16"/>
              </w:rPr>
              <w:t>280</w:t>
            </w:r>
          </w:p>
        </w:tc>
        <w:tc>
          <w:tcPr>
            <w:tcW w:w="851" w:type="dxa"/>
            <w:vAlign w:val="center"/>
          </w:tcPr>
          <w:p w:rsidR="00972A2F" w:rsidRPr="0009549D" w:rsidRDefault="00972A2F" w:rsidP="00617070">
            <w:pPr>
              <w:jc w:val="center"/>
              <w:rPr>
                <w:sz w:val="16"/>
                <w:szCs w:val="16"/>
              </w:rPr>
            </w:pPr>
            <w:r w:rsidRPr="0009549D">
              <w:rPr>
                <w:sz w:val="16"/>
                <w:szCs w:val="16"/>
              </w:rPr>
              <w:t>15</w:t>
            </w:r>
          </w:p>
        </w:tc>
        <w:tc>
          <w:tcPr>
            <w:tcW w:w="850" w:type="dxa"/>
            <w:vAlign w:val="center"/>
          </w:tcPr>
          <w:p w:rsidR="00972A2F" w:rsidRPr="0009549D" w:rsidRDefault="00972A2F" w:rsidP="00617070">
            <w:pPr>
              <w:jc w:val="center"/>
              <w:rPr>
                <w:sz w:val="16"/>
                <w:szCs w:val="16"/>
              </w:rPr>
            </w:pPr>
            <w:r w:rsidRPr="0009549D">
              <w:rPr>
                <w:sz w:val="16"/>
                <w:szCs w:val="16"/>
              </w:rPr>
              <w:t>17</w:t>
            </w:r>
          </w:p>
        </w:tc>
        <w:tc>
          <w:tcPr>
            <w:tcW w:w="851" w:type="dxa"/>
            <w:shd w:val="clear" w:color="auto" w:fill="auto"/>
            <w:noWrap/>
            <w:vAlign w:val="center"/>
          </w:tcPr>
          <w:p w:rsidR="00972A2F" w:rsidRPr="0009549D" w:rsidRDefault="00972A2F" w:rsidP="00617070">
            <w:pPr>
              <w:jc w:val="center"/>
              <w:rPr>
                <w:sz w:val="16"/>
                <w:szCs w:val="16"/>
              </w:rPr>
            </w:pPr>
            <w:r w:rsidRPr="0009549D">
              <w:rPr>
                <w:sz w:val="16"/>
                <w:szCs w:val="16"/>
              </w:rPr>
              <w:t>302</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-22</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-7</w:t>
            </w:r>
          </w:p>
        </w:tc>
      </w:tr>
      <w:tr w:rsidR="00972A2F" w:rsidRPr="00D57D7B" w:rsidTr="000E2F90">
        <w:trPr>
          <w:trHeight w:val="313"/>
        </w:trPr>
        <w:tc>
          <w:tcPr>
            <w:tcW w:w="2835" w:type="dxa"/>
            <w:shd w:val="clear" w:color="auto" w:fill="auto"/>
          </w:tcPr>
          <w:p w:rsidR="00972A2F" w:rsidRPr="00F72C6E" w:rsidRDefault="00972A2F" w:rsidP="00767CEF">
            <w:pPr>
              <w:jc w:val="both"/>
              <w:rPr>
                <w:b/>
                <w:sz w:val="18"/>
                <w:szCs w:val="18"/>
              </w:rPr>
            </w:pPr>
            <w:proofErr w:type="spellStart"/>
            <w:r w:rsidRPr="00F72C6E">
              <w:rPr>
                <w:b/>
                <w:sz w:val="18"/>
                <w:szCs w:val="18"/>
              </w:rPr>
              <w:lastRenderedPageBreak/>
              <w:t>Income</w:t>
            </w:r>
            <w:proofErr w:type="spellEnd"/>
            <w:r w:rsidRPr="00F72C6E">
              <w:rPr>
                <w:b/>
                <w:sz w:val="18"/>
                <w:szCs w:val="18"/>
              </w:rPr>
              <w:t xml:space="preserve"> </w:t>
            </w:r>
            <w:proofErr w:type="spellStart"/>
            <w:r w:rsidRPr="00F72C6E">
              <w:rPr>
                <w:b/>
                <w:sz w:val="18"/>
                <w:szCs w:val="18"/>
              </w:rPr>
              <w:t>tax</w:t>
            </w:r>
            <w:proofErr w:type="spellEnd"/>
            <w:r w:rsidRPr="00F72C6E">
              <w:rPr>
                <w:b/>
                <w:sz w:val="18"/>
                <w:szCs w:val="18"/>
              </w:rPr>
              <w:t xml:space="preserve"> </w:t>
            </w:r>
            <w:proofErr w:type="spellStart"/>
            <w:r w:rsidRPr="00F72C6E">
              <w:rPr>
                <w:b/>
                <w:sz w:val="18"/>
                <w:szCs w:val="18"/>
              </w:rPr>
              <w:t>expense</w:t>
            </w:r>
            <w:proofErr w:type="spellEnd"/>
          </w:p>
        </w:tc>
        <w:tc>
          <w:tcPr>
            <w:tcW w:w="709" w:type="dxa"/>
            <w:shd w:val="clear" w:color="auto" w:fill="auto"/>
            <w:vAlign w:val="center"/>
          </w:tcPr>
          <w:p w:rsidR="00972A2F" w:rsidRPr="0009549D" w:rsidRDefault="00972A2F" w:rsidP="00617070">
            <w:pPr>
              <w:jc w:val="center"/>
              <w:rPr>
                <w:sz w:val="16"/>
                <w:szCs w:val="16"/>
              </w:rPr>
            </w:pPr>
            <w:r w:rsidRPr="0009549D">
              <w:rPr>
                <w:sz w:val="16"/>
                <w:szCs w:val="16"/>
              </w:rPr>
              <w:t>5</w:t>
            </w:r>
          </w:p>
        </w:tc>
        <w:tc>
          <w:tcPr>
            <w:tcW w:w="845" w:type="dxa"/>
            <w:shd w:val="clear" w:color="auto" w:fill="auto"/>
            <w:vAlign w:val="center"/>
          </w:tcPr>
          <w:p w:rsidR="00972A2F" w:rsidRPr="0009549D" w:rsidRDefault="00972A2F" w:rsidP="00617070">
            <w:pPr>
              <w:jc w:val="center"/>
              <w:rPr>
                <w:sz w:val="16"/>
                <w:szCs w:val="16"/>
              </w:rPr>
            </w:pPr>
            <w:r w:rsidRPr="0009549D">
              <w:rPr>
                <w:sz w:val="16"/>
                <w:szCs w:val="16"/>
              </w:rPr>
              <w:t>6</w:t>
            </w:r>
          </w:p>
        </w:tc>
        <w:tc>
          <w:tcPr>
            <w:tcW w:w="856" w:type="dxa"/>
            <w:shd w:val="clear" w:color="auto" w:fill="auto"/>
            <w:noWrap/>
            <w:vAlign w:val="center"/>
          </w:tcPr>
          <w:p w:rsidR="00972A2F" w:rsidRPr="0009549D" w:rsidRDefault="00972A2F" w:rsidP="00617070">
            <w:pPr>
              <w:jc w:val="center"/>
              <w:rPr>
                <w:sz w:val="16"/>
                <w:szCs w:val="16"/>
              </w:rPr>
            </w:pPr>
            <w:r w:rsidRPr="0009549D">
              <w:rPr>
                <w:sz w:val="16"/>
                <w:szCs w:val="16"/>
              </w:rPr>
              <w:t>119</w:t>
            </w:r>
          </w:p>
        </w:tc>
        <w:tc>
          <w:tcPr>
            <w:tcW w:w="851" w:type="dxa"/>
            <w:vAlign w:val="center"/>
          </w:tcPr>
          <w:p w:rsidR="00972A2F" w:rsidRPr="0009549D" w:rsidRDefault="00972A2F" w:rsidP="00617070">
            <w:pPr>
              <w:jc w:val="center"/>
              <w:rPr>
                <w:sz w:val="16"/>
                <w:szCs w:val="16"/>
              </w:rPr>
            </w:pPr>
            <w:r w:rsidRPr="0009549D">
              <w:rPr>
                <w:sz w:val="16"/>
                <w:szCs w:val="16"/>
              </w:rPr>
              <w:t>6</w:t>
            </w:r>
          </w:p>
        </w:tc>
        <w:tc>
          <w:tcPr>
            <w:tcW w:w="850" w:type="dxa"/>
            <w:vAlign w:val="center"/>
          </w:tcPr>
          <w:p w:rsidR="00972A2F" w:rsidRPr="0009549D" w:rsidRDefault="00972A2F" w:rsidP="00617070">
            <w:pPr>
              <w:jc w:val="center"/>
              <w:rPr>
                <w:sz w:val="16"/>
                <w:szCs w:val="16"/>
              </w:rPr>
            </w:pPr>
            <w:r w:rsidRPr="0009549D">
              <w:rPr>
                <w:sz w:val="16"/>
                <w:szCs w:val="16"/>
              </w:rPr>
              <w:t>6</w:t>
            </w:r>
          </w:p>
        </w:tc>
        <w:tc>
          <w:tcPr>
            <w:tcW w:w="851" w:type="dxa"/>
            <w:shd w:val="clear" w:color="auto" w:fill="auto"/>
            <w:noWrap/>
            <w:vAlign w:val="center"/>
          </w:tcPr>
          <w:p w:rsidR="00972A2F" w:rsidRPr="0009549D" w:rsidRDefault="00972A2F" w:rsidP="00617070">
            <w:pPr>
              <w:jc w:val="center"/>
              <w:rPr>
                <w:sz w:val="16"/>
                <w:szCs w:val="16"/>
              </w:rPr>
            </w:pPr>
            <w:r w:rsidRPr="0009549D">
              <w:rPr>
                <w:sz w:val="16"/>
                <w:szCs w:val="16"/>
              </w:rPr>
              <w:t>111</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8</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7</w:t>
            </w:r>
          </w:p>
        </w:tc>
      </w:tr>
      <w:tr w:rsidR="00290880" w:rsidRPr="00E846B2" w:rsidTr="000E2F90">
        <w:trPr>
          <w:trHeight w:val="313"/>
        </w:trPr>
        <w:tc>
          <w:tcPr>
            <w:tcW w:w="2835" w:type="dxa"/>
            <w:tcBorders>
              <w:top w:val="single" w:sz="6" w:space="0" w:color="auto"/>
              <w:left w:val="single" w:sz="4" w:space="0" w:color="auto"/>
              <w:bottom w:val="single" w:sz="6" w:space="0" w:color="auto"/>
              <w:right w:val="single" w:sz="6" w:space="0" w:color="auto"/>
            </w:tcBorders>
            <w:shd w:val="clear" w:color="auto" w:fill="auto"/>
          </w:tcPr>
          <w:p w:rsidR="00290880" w:rsidRPr="00290880" w:rsidRDefault="00290880" w:rsidP="00290880">
            <w:pPr>
              <w:jc w:val="both"/>
              <w:rPr>
                <w:b/>
                <w:sz w:val="18"/>
                <w:szCs w:val="18"/>
                <w:lang w:val="en-US"/>
              </w:rPr>
            </w:pPr>
            <w:r w:rsidRPr="00290880">
              <w:rPr>
                <w:b/>
                <w:sz w:val="18"/>
                <w:szCs w:val="18"/>
                <w:lang w:val="en-US"/>
              </w:rPr>
              <w:t>Income/loss/ from discontinued operations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290880" w:rsidRPr="00290880" w:rsidRDefault="00290880" w:rsidP="00F11A4A">
            <w:pPr>
              <w:jc w:val="center"/>
              <w:rPr>
                <w:sz w:val="16"/>
                <w:szCs w:val="16"/>
              </w:rPr>
            </w:pPr>
            <w:r w:rsidRPr="00290880">
              <w:rPr>
                <w:sz w:val="16"/>
                <w:szCs w:val="16"/>
              </w:rPr>
              <w:t>9</w:t>
            </w:r>
          </w:p>
        </w:tc>
        <w:tc>
          <w:tcPr>
            <w:tcW w:w="845" w:type="dxa"/>
            <w:tcBorders>
              <w:top w:val="single" w:sz="6" w:space="0" w:color="auto"/>
              <w:left w:val="single" w:sz="6" w:space="0" w:color="auto"/>
              <w:bottom w:val="single" w:sz="6" w:space="0" w:color="auto"/>
              <w:right w:val="single" w:sz="6" w:space="0" w:color="auto"/>
            </w:tcBorders>
            <w:shd w:val="clear" w:color="auto" w:fill="auto"/>
            <w:vAlign w:val="center"/>
          </w:tcPr>
          <w:p w:rsidR="00290880" w:rsidRPr="00290880" w:rsidRDefault="00290880" w:rsidP="00F11A4A">
            <w:pPr>
              <w:jc w:val="center"/>
              <w:rPr>
                <w:sz w:val="16"/>
                <w:szCs w:val="16"/>
              </w:rPr>
            </w:pPr>
            <w:r w:rsidRPr="00290880">
              <w:rPr>
                <w:sz w:val="16"/>
                <w:szCs w:val="16"/>
              </w:rPr>
              <w:t>7</w:t>
            </w:r>
          </w:p>
        </w:tc>
        <w:tc>
          <w:tcPr>
            <w:tcW w:w="8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290880" w:rsidRPr="00290880" w:rsidRDefault="00290880" w:rsidP="00F11A4A">
            <w:pPr>
              <w:jc w:val="center"/>
              <w:rPr>
                <w:sz w:val="16"/>
                <w:szCs w:val="16"/>
              </w:rPr>
            </w:pPr>
            <w:r w:rsidRPr="00290880">
              <w:rPr>
                <w:sz w:val="16"/>
                <w:szCs w:val="16"/>
              </w:rPr>
              <w:t>202</w:t>
            </w:r>
          </w:p>
        </w:tc>
        <w:tc>
          <w:tcPr>
            <w:tcW w:w="851" w:type="dxa"/>
            <w:tcBorders>
              <w:top w:val="single" w:sz="6" w:space="0" w:color="auto"/>
              <w:left w:val="single" w:sz="6" w:space="0" w:color="auto"/>
              <w:bottom w:val="single" w:sz="6" w:space="0" w:color="auto"/>
              <w:right w:val="single" w:sz="6" w:space="0" w:color="auto"/>
            </w:tcBorders>
            <w:vAlign w:val="center"/>
          </w:tcPr>
          <w:p w:rsidR="00290880" w:rsidRPr="00290880" w:rsidRDefault="00290880" w:rsidP="00F11A4A">
            <w:pPr>
              <w:jc w:val="center"/>
              <w:rPr>
                <w:sz w:val="16"/>
                <w:szCs w:val="16"/>
              </w:rPr>
            </w:pPr>
            <w:r w:rsidRPr="00290880">
              <w:rPr>
                <w:sz w:val="16"/>
                <w:szCs w:val="16"/>
              </w:rPr>
              <w:t>1</w:t>
            </w:r>
          </w:p>
        </w:tc>
        <w:tc>
          <w:tcPr>
            <w:tcW w:w="850" w:type="dxa"/>
            <w:tcBorders>
              <w:top w:val="single" w:sz="6" w:space="0" w:color="auto"/>
              <w:left w:val="single" w:sz="6" w:space="0" w:color="auto"/>
              <w:bottom w:val="single" w:sz="6" w:space="0" w:color="auto"/>
              <w:right w:val="single" w:sz="6" w:space="0" w:color="auto"/>
            </w:tcBorders>
            <w:vAlign w:val="center"/>
          </w:tcPr>
          <w:p w:rsidR="00290880" w:rsidRPr="00290880" w:rsidRDefault="00290880" w:rsidP="00F11A4A">
            <w:pPr>
              <w:jc w:val="center"/>
              <w:rPr>
                <w:sz w:val="16"/>
                <w:szCs w:val="16"/>
              </w:rPr>
            </w:pPr>
            <w:r w:rsidRPr="00290880">
              <w:rPr>
                <w:sz w:val="16"/>
                <w:szCs w:val="16"/>
              </w:rPr>
              <w:t>1</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290880" w:rsidRPr="00290880" w:rsidRDefault="00290880" w:rsidP="00F11A4A">
            <w:pPr>
              <w:jc w:val="center"/>
              <w:rPr>
                <w:sz w:val="16"/>
                <w:szCs w:val="16"/>
              </w:rPr>
            </w:pPr>
            <w:r w:rsidRPr="00290880">
              <w:rPr>
                <w:sz w:val="16"/>
                <w:szCs w:val="16"/>
              </w:rPr>
              <w:t>17</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290880" w:rsidRPr="00290880" w:rsidRDefault="00290880" w:rsidP="00F11A4A">
            <w:pPr>
              <w:jc w:val="center"/>
              <w:rPr>
                <w:sz w:val="16"/>
                <w:szCs w:val="16"/>
              </w:rPr>
            </w:pPr>
            <w:r w:rsidRPr="00290880">
              <w:rPr>
                <w:sz w:val="16"/>
                <w:szCs w:val="16"/>
              </w:rPr>
              <w:t>185</w:t>
            </w:r>
          </w:p>
        </w:tc>
        <w:tc>
          <w:tcPr>
            <w:tcW w:w="993" w:type="dxa"/>
            <w:tcBorders>
              <w:top w:val="single" w:sz="6" w:space="0" w:color="auto"/>
              <w:left w:val="single" w:sz="6" w:space="0" w:color="auto"/>
              <w:bottom w:val="single" w:sz="6" w:space="0" w:color="auto"/>
              <w:right w:val="single" w:sz="4" w:space="0" w:color="auto"/>
            </w:tcBorders>
            <w:shd w:val="clear" w:color="auto" w:fill="auto"/>
            <w:noWrap/>
            <w:vAlign w:val="center"/>
          </w:tcPr>
          <w:p w:rsidR="00290880" w:rsidRPr="00290880" w:rsidRDefault="00290880" w:rsidP="00F11A4A">
            <w:pPr>
              <w:jc w:val="center"/>
              <w:rPr>
                <w:sz w:val="16"/>
                <w:szCs w:val="16"/>
              </w:rPr>
            </w:pPr>
            <w:r w:rsidRPr="00290880">
              <w:rPr>
                <w:sz w:val="16"/>
                <w:szCs w:val="16"/>
              </w:rPr>
              <w:t>1 188</w:t>
            </w:r>
          </w:p>
        </w:tc>
      </w:tr>
      <w:tr w:rsidR="00972A2F" w:rsidRPr="00D57D7B" w:rsidTr="000E2F90">
        <w:trPr>
          <w:trHeight w:val="275"/>
        </w:trPr>
        <w:tc>
          <w:tcPr>
            <w:tcW w:w="2835" w:type="dxa"/>
            <w:shd w:val="clear" w:color="auto" w:fill="auto"/>
          </w:tcPr>
          <w:p w:rsidR="00972A2F" w:rsidRPr="008252D9" w:rsidRDefault="00972A2F" w:rsidP="00767CEF">
            <w:pPr>
              <w:jc w:val="both"/>
              <w:rPr>
                <w:b/>
                <w:sz w:val="18"/>
                <w:szCs w:val="18"/>
              </w:rPr>
            </w:pPr>
            <w:proofErr w:type="spellStart"/>
            <w:r w:rsidRPr="008252D9">
              <w:rPr>
                <w:b/>
                <w:sz w:val="18"/>
                <w:szCs w:val="18"/>
              </w:rPr>
              <w:t>Net</w:t>
            </w:r>
            <w:proofErr w:type="spellEnd"/>
            <w:r w:rsidRPr="008252D9">
              <w:rPr>
                <w:b/>
                <w:sz w:val="18"/>
                <w:szCs w:val="18"/>
                <w:lang w:val="en-US"/>
              </w:rPr>
              <w:t xml:space="preserve"> </w:t>
            </w:r>
            <w:r w:rsidRPr="008252D9">
              <w:rPr>
                <w:b/>
                <w:sz w:val="18"/>
                <w:szCs w:val="18"/>
              </w:rPr>
              <w:t xml:space="preserve"> </w:t>
            </w:r>
            <w:proofErr w:type="spellStart"/>
            <w:r w:rsidRPr="008252D9">
              <w:rPr>
                <w:b/>
                <w:sz w:val="18"/>
                <w:szCs w:val="18"/>
              </w:rPr>
              <w:t>profit</w:t>
            </w:r>
            <w:proofErr w:type="spellEnd"/>
          </w:p>
        </w:tc>
        <w:tc>
          <w:tcPr>
            <w:tcW w:w="709" w:type="dxa"/>
            <w:shd w:val="clear" w:color="auto" w:fill="auto"/>
            <w:vAlign w:val="center"/>
          </w:tcPr>
          <w:p w:rsidR="00972A2F" w:rsidRPr="0009549D" w:rsidRDefault="00972A2F" w:rsidP="00617070">
            <w:pPr>
              <w:jc w:val="center"/>
              <w:rPr>
                <w:sz w:val="16"/>
                <w:szCs w:val="16"/>
              </w:rPr>
            </w:pPr>
            <w:r w:rsidRPr="0009549D">
              <w:rPr>
                <w:sz w:val="16"/>
                <w:szCs w:val="16"/>
              </w:rPr>
              <w:t>26</w:t>
            </w:r>
          </w:p>
        </w:tc>
        <w:tc>
          <w:tcPr>
            <w:tcW w:w="845" w:type="dxa"/>
            <w:shd w:val="clear" w:color="auto" w:fill="auto"/>
            <w:vAlign w:val="center"/>
          </w:tcPr>
          <w:p w:rsidR="00972A2F" w:rsidRPr="0009549D" w:rsidRDefault="00972A2F" w:rsidP="00617070">
            <w:pPr>
              <w:jc w:val="center"/>
              <w:rPr>
                <w:sz w:val="16"/>
                <w:szCs w:val="16"/>
              </w:rPr>
            </w:pPr>
            <w:r w:rsidRPr="0009549D">
              <w:rPr>
                <w:sz w:val="16"/>
                <w:szCs w:val="16"/>
              </w:rPr>
              <w:t>29</w:t>
            </w:r>
          </w:p>
        </w:tc>
        <w:tc>
          <w:tcPr>
            <w:tcW w:w="856" w:type="dxa"/>
            <w:shd w:val="clear" w:color="auto" w:fill="auto"/>
            <w:noWrap/>
            <w:vAlign w:val="center"/>
          </w:tcPr>
          <w:p w:rsidR="00972A2F" w:rsidRPr="0009549D" w:rsidRDefault="00972A2F" w:rsidP="00617070">
            <w:pPr>
              <w:jc w:val="center"/>
              <w:rPr>
                <w:sz w:val="16"/>
                <w:szCs w:val="16"/>
              </w:rPr>
            </w:pPr>
            <w:r w:rsidRPr="0009549D">
              <w:rPr>
                <w:sz w:val="16"/>
                <w:szCs w:val="16"/>
              </w:rPr>
              <w:t>585</w:t>
            </w:r>
          </w:p>
        </w:tc>
        <w:tc>
          <w:tcPr>
            <w:tcW w:w="851" w:type="dxa"/>
            <w:vAlign w:val="center"/>
          </w:tcPr>
          <w:p w:rsidR="00972A2F" w:rsidRPr="0009549D" w:rsidRDefault="00972A2F" w:rsidP="00617070">
            <w:pPr>
              <w:jc w:val="center"/>
              <w:rPr>
                <w:sz w:val="16"/>
                <w:szCs w:val="16"/>
              </w:rPr>
            </w:pPr>
            <w:r w:rsidRPr="0009549D">
              <w:rPr>
                <w:sz w:val="16"/>
                <w:szCs w:val="16"/>
              </w:rPr>
              <w:t>22</w:t>
            </w:r>
          </w:p>
        </w:tc>
        <w:tc>
          <w:tcPr>
            <w:tcW w:w="850" w:type="dxa"/>
            <w:vAlign w:val="center"/>
          </w:tcPr>
          <w:p w:rsidR="00972A2F" w:rsidRPr="0009549D" w:rsidRDefault="00972A2F" w:rsidP="00617070">
            <w:pPr>
              <w:jc w:val="center"/>
              <w:rPr>
                <w:sz w:val="16"/>
                <w:szCs w:val="16"/>
              </w:rPr>
            </w:pPr>
            <w:r w:rsidRPr="0009549D">
              <w:rPr>
                <w:sz w:val="16"/>
                <w:szCs w:val="16"/>
              </w:rPr>
              <w:t>24</w:t>
            </w:r>
          </w:p>
        </w:tc>
        <w:tc>
          <w:tcPr>
            <w:tcW w:w="851" w:type="dxa"/>
            <w:shd w:val="clear" w:color="auto" w:fill="auto"/>
            <w:noWrap/>
            <w:vAlign w:val="center"/>
          </w:tcPr>
          <w:p w:rsidR="00972A2F" w:rsidRPr="0009549D" w:rsidRDefault="00644243" w:rsidP="00617070">
            <w:pPr>
              <w:jc w:val="center"/>
              <w:rPr>
                <w:sz w:val="16"/>
                <w:szCs w:val="16"/>
              </w:rPr>
            </w:pPr>
            <w:r>
              <w:rPr>
                <w:sz w:val="16"/>
                <w:szCs w:val="16"/>
              </w:rPr>
              <w:t>431</w:t>
            </w:r>
          </w:p>
        </w:tc>
        <w:tc>
          <w:tcPr>
            <w:tcW w:w="992" w:type="dxa"/>
            <w:shd w:val="clear" w:color="auto" w:fill="auto"/>
            <w:noWrap/>
            <w:vAlign w:val="center"/>
          </w:tcPr>
          <w:p w:rsidR="00972A2F" w:rsidRPr="0009549D" w:rsidRDefault="00972A2F" w:rsidP="00617070">
            <w:pPr>
              <w:jc w:val="center"/>
              <w:rPr>
                <w:sz w:val="16"/>
                <w:szCs w:val="16"/>
              </w:rPr>
            </w:pPr>
            <w:r w:rsidRPr="0009549D">
              <w:rPr>
                <w:sz w:val="16"/>
                <w:szCs w:val="16"/>
              </w:rPr>
              <w:t>155</w:t>
            </w:r>
          </w:p>
        </w:tc>
        <w:tc>
          <w:tcPr>
            <w:tcW w:w="993" w:type="dxa"/>
            <w:shd w:val="clear" w:color="auto" w:fill="auto"/>
            <w:noWrap/>
            <w:vAlign w:val="center"/>
          </w:tcPr>
          <w:p w:rsidR="00972A2F" w:rsidRPr="0009549D" w:rsidRDefault="00972A2F" w:rsidP="00617070">
            <w:pPr>
              <w:jc w:val="center"/>
              <w:rPr>
                <w:sz w:val="16"/>
                <w:szCs w:val="16"/>
              </w:rPr>
            </w:pPr>
            <w:r w:rsidRPr="0009549D">
              <w:rPr>
                <w:sz w:val="16"/>
                <w:szCs w:val="16"/>
              </w:rPr>
              <w:t>36</w:t>
            </w:r>
          </w:p>
        </w:tc>
      </w:tr>
    </w:tbl>
    <w:p w:rsidR="003A1285" w:rsidRDefault="003A1285" w:rsidP="003A1285">
      <w:pPr>
        <w:tabs>
          <w:tab w:val="left" w:pos="426"/>
          <w:tab w:val="left" w:pos="993"/>
        </w:tabs>
        <w:autoSpaceDE w:val="0"/>
        <w:autoSpaceDN w:val="0"/>
        <w:adjustRightInd w:val="0"/>
        <w:ind w:left="-709" w:firstLine="709"/>
        <w:jc w:val="both"/>
        <w:rPr>
          <w:bCs/>
          <w:sz w:val="22"/>
          <w:szCs w:val="22"/>
        </w:rPr>
      </w:pPr>
    </w:p>
    <w:p w:rsidR="003A1285" w:rsidRDefault="00957E4E" w:rsidP="003A1285">
      <w:pPr>
        <w:tabs>
          <w:tab w:val="left" w:pos="426"/>
        </w:tabs>
        <w:autoSpaceDE w:val="0"/>
        <w:autoSpaceDN w:val="0"/>
        <w:adjustRightInd w:val="0"/>
        <w:ind w:left="-709" w:firstLine="709"/>
        <w:jc w:val="both"/>
        <w:rPr>
          <w:rStyle w:val="apple-style-span"/>
          <w:sz w:val="22"/>
          <w:szCs w:val="22"/>
          <w:shd w:val="clear" w:color="auto" w:fill="FFFFFF"/>
          <w:lang w:val="en-US"/>
        </w:rPr>
      </w:pPr>
      <w:proofErr w:type="gramStart"/>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main</w:t>
      </w:r>
      <w:r w:rsidR="003A1285" w:rsidRPr="008252D9">
        <w:rPr>
          <w:rStyle w:val="apple-style-span"/>
          <w:sz w:val="22"/>
          <w:szCs w:val="22"/>
          <w:shd w:val="clear" w:color="auto" w:fill="FFFFFF"/>
          <w:lang w:val="en-US"/>
        </w:rPr>
        <w:t xml:space="preserve"> factors </w:t>
      </w:r>
      <w:r w:rsidR="003A1285">
        <w:rPr>
          <w:rStyle w:val="apple-style-span"/>
          <w:sz w:val="22"/>
          <w:szCs w:val="22"/>
          <w:shd w:val="clear" w:color="auto" w:fill="FFFFFF"/>
          <w:lang w:val="en-US"/>
        </w:rPr>
        <w:t xml:space="preserve">of changing of </w:t>
      </w:r>
      <w:r w:rsidR="003A1285" w:rsidRPr="008F0881">
        <w:rPr>
          <w:rStyle w:val="apple-style-span"/>
          <w:b/>
          <w:i/>
          <w:sz w:val="22"/>
          <w:szCs w:val="22"/>
          <w:shd w:val="clear" w:color="auto" w:fill="FFFFFF"/>
          <w:lang w:val="en-US"/>
        </w:rPr>
        <w:t>net income</w:t>
      </w:r>
      <w:r w:rsidR="003A1285">
        <w:rPr>
          <w:rStyle w:val="apple-style-span"/>
          <w:sz w:val="22"/>
          <w:szCs w:val="22"/>
          <w:shd w:val="clear" w:color="auto" w:fill="FFFFFF"/>
          <w:lang w:val="en-US"/>
        </w:rPr>
        <w:t xml:space="preserve"> without the STB in </w:t>
      </w:r>
      <w:r>
        <w:rPr>
          <w:rStyle w:val="apple-style-span"/>
          <w:sz w:val="22"/>
          <w:szCs w:val="22"/>
          <w:shd w:val="clear" w:color="auto" w:fill="FFFFFF"/>
          <w:lang w:val="en-US"/>
        </w:rPr>
        <w:t>the reporting period</w:t>
      </w:r>
      <w:r w:rsidR="003A1285">
        <w:rPr>
          <w:rStyle w:val="apple-style-span"/>
          <w:sz w:val="22"/>
          <w:szCs w:val="22"/>
          <w:shd w:val="clear" w:color="auto" w:fill="FFFFFF"/>
          <w:lang w:val="en-US"/>
        </w:rPr>
        <w:t xml:space="preserve"> as compared with </w:t>
      </w:r>
      <w:r>
        <w:rPr>
          <w:rStyle w:val="apple-style-span"/>
          <w:sz w:val="22"/>
          <w:szCs w:val="22"/>
          <w:shd w:val="clear" w:color="auto" w:fill="FFFFFF"/>
          <w:lang w:val="en-US"/>
        </w:rPr>
        <w:t>the same period of 2011</w:t>
      </w:r>
      <w:r w:rsidR="003A1285">
        <w:rPr>
          <w:rStyle w:val="apple-style-span"/>
          <w:sz w:val="22"/>
          <w:szCs w:val="22"/>
          <w:shd w:val="clear" w:color="auto" w:fill="FFFFFF"/>
          <w:lang w:val="en-US"/>
        </w:rPr>
        <w:t xml:space="preserve"> is given below.</w:t>
      </w:r>
      <w:proofErr w:type="gramEnd"/>
    </w:p>
    <w:p w:rsidR="00FF30D5" w:rsidRPr="00C40595" w:rsidRDefault="00FF30D5" w:rsidP="003A1285">
      <w:pPr>
        <w:tabs>
          <w:tab w:val="left" w:pos="426"/>
        </w:tabs>
        <w:autoSpaceDE w:val="0"/>
        <w:autoSpaceDN w:val="0"/>
        <w:adjustRightInd w:val="0"/>
        <w:ind w:left="-709" w:firstLine="709"/>
        <w:jc w:val="both"/>
        <w:rPr>
          <w:rStyle w:val="apple-style-span"/>
          <w:sz w:val="22"/>
          <w:szCs w:val="22"/>
          <w:shd w:val="clear" w:color="auto" w:fill="FFFFFF"/>
          <w:lang w:val="en-US"/>
        </w:rPr>
      </w:pPr>
    </w:p>
    <w:tbl>
      <w:tblPr>
        <w:tblW w:w="9526" w:type="dxa"/>
        <w:tblInd w:w="-510" w:type="dxa"/>
        <w:tblLook w:val="04A0" w:firstRow="1" w:lastRow="0" w:firstColumn="1" w:lastColumn="0" w:noHBand="0" w:noVBand="1"/>
      </w:tblPr>
      <w:tblGrid>
        <w:gridCol w:w="7825"/>
        <w:gridCol w:w="1701"/>
      </w:tblGrid>
      <w:tr w:rsidR="003A1285" w:rsidRPr="0049185F" w:rsidTr="000E2F90">
        <w:trPr>
          <w:trHeight w:val="427"/>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285" w:rsidRPr="0049185F" w:rsidRDefault="003A1285" w:rsidP="00770BC8">
            <w:pPr>
              <w:jc w:val="center"/>
              <w:rPr>
                <w:b/>
                <w:bCs/>
                <w:sz w:val="18"/>
                <w:szCs w:val="18"/>
                <w:lang w:val="en-US"/>
              </w:rPr>
            </w:pPr>
            <w:r w:rsidRPr="0049185F">
              <w:rPr>
                <w:b/>
                <w:bCs/>
                <w:sz w:val="18"/>
                <w:szCs w:val="18"/>
                <w:lang w:val="en-US"/>
              </w:rPr>
              <w:t>Factors</w:t>
            </w:r>
          </w:p>
        </w:tc>
        <w:tc>
          <w:tcPr>
            <w:tcW w:w="1701" w:type="dxa"/>
            <w:tcBorders>
              <w:top w:val="single" w:sz="4" w:space="0" w:color="auto"/>
              <w:left w:val="nil"/>
              <w:bottom w:val="single" w:sz="4" w:space="0" w:color="auto"/>
              <w:right w:val="single" w:sz="4" w:space="0" w:color="auto"/>
            </w:tcBorders>
            <w:vAlign w:val="center"/>
          </w:tcPr>
          <w:p w:rsidR="003A1285" w:rsidRPr="0049185F" w:rsidRDefault="003A1285" w:rsidP="00770BC8">
            <w:pPr>
              <w:jc w:val="center"/>
              <w:rPr>
                <w:b/>
                <w:bCs/>
                <w:sz w:val="18"/>
                <w:szCs w:val="18"/>
                <w:lang w:val="en-US"/>
              </w:rPr>
            </w:pPr>
            <w:r w:rsidRPr="0049185F">
              <w:rPr>
                <w:b/>
                <w:bCs/>
                <w:sz w:val="18"/>
                <w:szCs w:val="18"/>
                <w:lang w:val="en-US"/>
              </w:rPr>
              <w:t>Changes</w:t>
            </w:r>
            <w:r w:rsidRPr="0049185F">
              <w:rPr>
                <w:b/>
                <w:bCs/>
                <w:sz w:val="18"/>
                <w:szCs w:val="18"/>
              </w:rPr>
              <w:t xml:space="preserve">, </w:t>
            </w:r>
          </w:p>
          <w:p w:rsidR="003A1285" w:rsidRPr="0049185F" w:rsidRDefault="00FF30D5" w:rsidP="00FF30D5">
            <w:pPr>
              <w:jc w:val="center"/>
              <w:rPr>
                <w:b/>
                <w:bCs/>
                <w:sz w:val="18"/>
                <w:szCs w:val="18"/>
                <w:lang w:val="en-US"/>
              </w:rPr>
            </w:pPr>
            <w:r>
              <w:rPr>
                <w:b/>
                <w:bCs/>
                <w:sz w:val="18"/>
                <w:szCs w:val="18"/>
                <w:lang w:val="en-US"/>
              </w:rPr>
              <w:t xml:space="preserve">KZT </w:t>
            </w:r>
            <w:r w:rsidR="003A1285" w:rsidRPr="0049185F">
              <w:rPr>
                <w:b/>
                <w:bCs/>
                <w:sz w:val="18"/>
                <w:szCs w:val="18"/>
                <w:lang w:val="en-US"/>
              </w:rPr>
              <w:t xml:space="preserve">billion </w:t>
            </w:r>
          </w:p>
        </w:tc>
      </w:tr>
      <w:tr w:rsidR="0053049D" w:rsidRPr="0049185F" w:rsidTr="000E2F90">
        <w:trPr>
          <w:trHeight w:val="310"/>
        </w:trPr>
        <w:tc>
          <w:tcPr>
            <w:tcW w:w="7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049D" w:rsidRPr="0049185F" w:rsidRDefault="0053049D" w:rsidP="0053049D">
            <w:pPr>
              <w:rPr>
                <w:b/>
                <w:bCs/>
                <w:color w:val="000000"/>
                <w:sz w:val="18"/>
                <w:szCs w:val="18"/>
                <w:lang w:val="en-US"/>
              </w:rPr>
            </w:pPr>
            <w:r w:rsidRPr="0049185F">
              <w:rPr>
                <w:b/>
                <w:bCs/>
                <w:color w:val="000000"/>
                <w:sz w:val="18"/>
                <w:szCs w:val="18"/>
                <w:lang w:val="en-US"/>
              </w:rPr>
              <w:t xml:space="preserve">Net </w:t>
            </w:r>
            <w:r>
              <w:rPr>
                <w:b/>
                <w:bCs/>
                <w:color w:val="000000"/>
                <w:sz w:val="18"/>
                <w:szCs w:val="18"/>
                <w:lang w:val="en-US"/>
              </w:rPr>
              <w:t>income</w:t>
            </w:r>
            <w:r w:rsidRPr="0049185F">
              <w:rPr>
                <w:b/>
                <w:bCs/>
                <w:color w:val="000000"/>
                <w:sz w:val="18"/>
                <w:szCs w:val="18"/>
                <w:lang w:val="en-US"/>
              </w:rPr>
              <w:t xml:space="preserve"> </w:t>
            </w:r>
            <w:r>
              <w:rPr>
                <w:b/>
                <w:bCs/>
                <w:color w:val="000000"/>
                <w:sz w:val="18"/>
                <w:szCs w:val="18"/>
                <w:lang w:val="en-US"/>
              </w:rPr>
              <w:t xml:space="preserve">without STB </w:t>
            </w:r>
            <w:r w:rsidRPr="004E4765">
              <w:rPr>
                <w:b/>
                <w:bCs/>
                <w:color w:val="000000"/>
                <w:sz w:val="18"/>
                <w:szCs w:val="18"/>
                <w:lang w:val="en-US"/>
              </w:rPr>
              <w:t>(</w:t>
            </w:r>
            <w:r>
              <w:rPr>
                <w:b/>
                <w:bCs/>
                <w:color w:val="000000"/>
                <w:sz w:val="18"/>
                <w:szCs w:val="18"/>
                <w:lang w:val="en-US"/>
              </w:rPr>
              <w:t>KZT 585</w:t>
            </w:r>
            <w:r w:rsidRPr="004E4765">
              <w:rPr>
                <w:b/>
                <w:bCs/>
                <w:color w:val="000000"/>
                <w:sz w:val="18"/>
                <w:szCs w:val="18"/>
                <w:lang w:val="en-US"/>
              </w:rPr>
              <w:t xml:space="preserve"> </w:t>
            </w:r>
            <w:r w:rsidR="000A43AE">
              <w:rPr>
                <w:b/>
                <w:bCs/>
                <w:color w:val="000000"/>
                <w:sz w:val="18"/>
                <w:szCs w:val="18"/>
                <w:lang w:val="en-US"/>
              </w:rPr>
              <w:t>Billion</w:t>
            </w:r>
            <w:r w:rsidRPr="004E4765">
              <w:rPr>
                <w:b/>
                <w:bCs/>
                <w:color w:val="000000"/>
                <w:sz w:val="18"/>
                <w:szCs w:val="18"/>
                <w:lang w:val="en-US"/>
              </w:rPr>
              <w:t xml:space="preserve"> in the reporting period, </w:t>
            </w:r>
            <w:r>
              <w:rPr>
                <w:b/>
                <w:bCs/>
                <w:color w:val="000000"/>
                <w:sz w:val="18"/>
                <w:szCs w:val="18"/>
                <w:lang w:val="en-US"/>
              </w:rPr>
              <w:t>KZT 430</w:t>
            </w:r>
            <w:r w:rsidRPr="004E4765">
              <w:rPr>
                <w:b/>
                <w:bCs/>
                <w:color w:val="000000"/>
                <w:sz w:val="18"/>
                <w:szCs w:val="18"/>
                <w:lang w:val="en-US"/>
              </w:rPr>
              <w:t xml:space="preserve"> billion for the same period in 2011)</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b/>
                <w:bCs/>
                <w:sz w:val="18"/>
                <w:szCs w:val="18"/>
                <w:lang w:val="en-US"/>
              </w:rPr>
            </w:pPr>
            <w:r w:rsidRPr="00663D89">
              <w:rPr>
                <w:b/>
                <w:bCs/>
                <w:sz w:val="18"/>
                <w:szCs w:val="18"/>
                <w:lang w:val="en-US"/>
              </w:rPr>
              <w:t>155</w:t>
            </w:r>
          </w:p>
        </w:tc>
      </w:tr>
      <w:tr w:rsidR="0053049D" w:rsidRPr="0049185F" w:rsidTr="000E2F90">
        <w:trPr>
          <w:trHeight w:val="429"/>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DE4DE3" w:rsidRDefault="00353DB4" w:rsidP="00617070">
            <w:pPr>
              <w:rPr>
                <w:sz w:val="18"/>
                <w:szCs w:val="18"/>
                <w:lang w:val="en-US"/>
              </w:rPr>
            </w:pPr>
            <w:hyperlink r:id="rId14" w:anchor="RANGE!A30" w:history="1">
              <w:r w:rsidR="0053049D" w:rsidRPr="00DE4DE3">
                <w:rPr>
                  <w:sz w:val="18"/>
                  <w:szCs w:val="18"/>
                  <w:lang w:val="en-US"/>
                </w:rPr>
                <w:t>The</w:t>
              </w:r>
            </w:hyperlink>
            <w:r w:rsidR="0053049D" w:rsidRPr="00DE4DE3">
              <w:rPr>
                <w:sz w:val="18"/>
                <w:szCs w:val="18"/>
                <w:lang w:val="en-US"/>
              </w:rPr>
              <w:t xml:space="preserve"> revenue growth (based on the level of operating profitability in 201</w:t>
            </w:r>
            <w:r w:rsidR="0053049D">
              <w:rPr>
                <w:sz w:val="18"/>
                <w:szCs w:val="18"/>
                <w:lang w:val="en-US"/>
              </w:rPr>
              <w:t>1</w:t>
            </w:r>
            <w:r w:rsidR="0053049D" w:rsidRPr="00DE4DE3">
              <w:rPr>
                <w:sz w:val="18"/>
                <w:szCs w:val="18"/>
                <w:lang w:val="en-US"/>
              </w:rPr>
              <w:t>) mainly due to sales of petroleum products, freight rail, other income from the provision of other value-a</w:t>
            </w:r>
            <w:r w:rsidR="0053049D">
              <w:rPr>
                <w:sz w:val="18"/>
                <w:szCs w:val="18"/>
                <w:lang w:val="en-US"/>
              </w:rPr>
              <w:t>dded services to core business</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231</w:t>
            </w:r>
          </w:p>
        </w:tc>
      </w:tr>
      <w:tr w:rsidR="0053049D" w:rsidRPr="0049185F" w:rsidTr="000E2F90">
        <w:trPr>
          <w:trHeight w:val="252"/>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Pr>
                <w:sz w:val="18"/>
                <w:szCs w:val="18"/>
                <w:lang w:val="en-US"/>
              </w:rPr>
              <w:t>S</w:t>
            </w:r>
            <w:r w:rsidRPr="007B7715">
              <w:rPr>
                <w:sz w:val="18"/>
                <w:szCs w:val="18"/>
                <w:lang w:val="en-US"/>
              </w:rPr>
              <w:t>ale of shares in “GSM Kazakhstan “</w:t>
            </w:r>
            <w:proofErr w:type="spellStart"/>
            <w:r w:rsidRPr="007B7715">
              <w:rPr>
                <w:sz w:val="18"/>
                <w:szCs w:val="18"/>
                <w:lang w:val="en-US"/>
              </w:rPr>
              <w:t>Kazakhtelecom</w:t>
            </w:r>
            <w:proofErr w:type="spellEnd"/>
            <w:r w:rsidRPr="007B7715">
              <w:rPr>
                <w:sz w:val="18"/>
                <w:szCs w:val="18"/>
                <w:lang w:val="en-US"/>
              </w:rPr>
              <w:t>” JSC” LLP</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185</w:t>
            </w:r>
          </w:p>
        </w:tc>
      </w:tr>
      <w:tr w:rsidR="0053049D" w:rsidRPr="0049185F" w:rsidTr="000E2F90">
        <w:trPr>
          <w:trHeight w:val="229"/>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Pr>
                <w:sz w:val="18"/>
                <w:szCs w:val="18"/>
                <w:lang w:val="en-US"/>
              </w:rPr>
              <w:t>Growth</w:t>
            </w:r>
            <w:r w:rsidRPr="007B7715">
              <w:rPr>
                <w:sz w:val="18"/>
                <w:szCs w:val="18"/>
                <w:lang w:val="en-US"/>
              </w:rPr>
              <w:t xml:space="preserve"> of income tax expenses</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-8</w:t>
            </w:r>
          </w:p>
        </w:tc>
      </w:tr>
      <w:tr w:rsidR="0053049D" w:rsidRPr="0049185F" w:rsidTr="000E2F90">
        <w:trPr>
          <w:trHeight w:val="178"/>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sidRPr="007B7715">
              <w:rPr>
                <w:sz w:val="18"/>
                <w:szCs w:val="18"/>
                <w:lang w:val="en-US"/>
              </w:rPr>
              <w:t>Reduction of costs for the impairment of loans to customers, mainly on DBK</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21</w:t>
            </w:r>
          </w:p>
        </w:tc>
      </w:tr>
      <w:tr w:rsidR="0053049D" w:rsidRPr="0053049D" w:rsidTr="000E2F90">
        <w:trPr>
          <w:trHeight w:val="1671"/>
        </w:trPr>
        <w:tc>
          <w:tcPr>
            <w:tcW w:w="7825" w:type="dxa"/>
            <w:tcBorders>
              <w:top w:val="single" w:sz="4" w:space="0" w:color="auto"/>
              <w:left w:val="single" w:sz="4" w:space="0" w:color="auto"/>
              <w:right w:val="single" w:sz="4" w:space="0" w:color="auto"/>
            </w:tcBorders>
            <w:shd w:val="clear" w:color="auto" w:fill="auto"/>
          </w:tcPr>
          <w:p w:rsidR="0053049D" w:rsidRPr="007B7715" w:rsidRDefault="0053049D" w:rsidP="00617070">
            <w:pPr>
              <w:rPr>
                <w:sz w:val="18"/>
                <w:szCs w:val="18"/>
                <w:lang w:val="en-US"/>
              </w:rPr>
            </w:pPr>
            <w:r w:rsidRPr="007B7715">
              <w:rPr>
                <w:sz w:val="18"/>
                <w:szCs w:val="18"/>
                <w:lang w:val="en-US"/>
              </w:rPr>
              <w:t>The excess of the rate of increase in the cost over the rate of revenue growth, mainly due to:</w:t>
            </w:r>
          </w:p>
          <w:p w:rsidR="0053049D" w:rsidRPr="007B7715" w:rsidRDefault="0053049D" w:rsidP="00617070">
            <w:pPr>
              <w:rPr>
                <w:sz w:val="18"/>
                <w:szCs w:val="18"/>
                <w:lang w:val="en-US"/>
              </w:rPr>
            </w:pPr>
            <w:r w:rsidRPr="007B7715">
              <w:rPr>
                <w:sz w:val="18"/>
                <w:szCs w:val="18"/>
                <w:lang w:val="en-US"/>
              </w:rPr>
              <w:t xml:space="preserve">• increase in the cost of works and services (transport, electricity) and raw materials by KZT </w:t>
            </w:r>
            <w:r w:rsidR="007B14F2" w:rsidRPr="007B14F2">
              <w:rPr>
                <w:sz w:val="18"/>
                <w:szCs w:val="18"/>
                <w:lang w:val="en-US"/>
              </w:rPr>
              <w:t>175</w:t>
            </w:r>
            <w:r w:rsidRPr="007B7715">
              <w:rPr>
                <w:sz w:val="18"/>
                <w:szCs w:val="18"/>
                <w:lang w:val="en-US"/>
              </w:rPr>
              <w:t xml:space="preserve"> billion </w:t>
            </w:r>
          </w:p>
          <w:p w:rsidR="0053049D" w:rsidRPr="007B7715" w:rsidRDefault="0053049D" w:rsidP="0053049D">
            <w:pPr>
              <w:rPr>
                <w:sz w:val="18"/>
                <w:szCs w:val="18"/>
                <w:lang w:val="en-US"/>
              </w:rPr>
            </w:pPr>
            <w:r w:rsidRPr="007B7715">
              <w:rPr>
                <w:sz w:val="18"/>
                <w:szCs w:val="18"/>
                <w:lang w:val="en-US"/>
              </w:rPr>
              <w:t>• increases of wages of production personnel and related taxes (population growth, LCF indexing) by KZT</w:t>
            </w:r>
            <w:r w:rsidR="00594AC9" w:rsidRPr="00594AC9">
              <w:rPr>
                <w:sz w:val="18"/>
                <w:szCs w:val="18"/>
                <w:lang w:val="en-US"/>
              </w:rPr>
              <w:t xml:space="preserve"> </w:t>
            </w:r>
            <w:r w:rsidRPr="007B7715">
              <w:rPr>
                <w:sz w:val="18"/>
                <w:szCs w:val="18"/>
                <w:lang w:val="en-US"/>
              </w:rPr>
              <w:t xml:space="preserve">42.7 </w:t>
            </w:r>
            <w:r w:rsidR="000A43AE">
              <w:rPr>
                <w:sz w:val="18"/>
                <w:szCs w:val="18"/>
                <w:lang w:val="en-US"/>
              </w:rPr>
              <w:t>billion</w:t>
            </w:r>
            <w:r w:rsidRPr="007B7715">
              <w:rPr>
                <w:sz w:val="18"/>
                <w:szCs w:val="18"/>
                <w:lang w:val="en-US"/>
              </w:rPr>
              <w:t xml:space="preserve"> </w:t>
            </w:r>
            <w:r>
              <w:rPr>
                <w:sz w:val="18"/>
                <w:szCs w:val="18"/>
                <w:lang w:val="en-US"/>
              </w:rPr>
              <w:t>due to</w:t>
            </w:r>
            <w:r w:rsidRPr="007B7715">
              <w:rPr>
                <w:sz w:val="18"/>
                <w:szCs w:val="18"/>
                <w:lang w:val="en-US"/>
              </w:rPr>
              <w:t xml:space="preserve"> creating two business units in EP KMG, commissioning of facilities of the new railway lines </w:t>
            </w:r>
            <w:proofErr w:type="spellStart"/>
            <w:r w:rsidRPr="007B7715">
              <w:rPr>
                <w:sz w:val="18"/>
                <w:szCs w:val="18"/>
                <w:lang w:val="en-US"/>
              </w:rPr>
              <w:t>Korgas-Zhetyshen</w:t>
            </w:r>
            <w:proofErr w:type="spellEnd"/>
            <w:r w:rsidRPr="007B7715">
              <w:rPr>
                <w:sz w:val="18"/>
                <w:szCs w:val="18"/>
                <w:lang w:val="en-US"/>
              </w:rPr>
              <w:t xml:space="preserve"> and </w:t>
            </w:r>
            <w:proofErr w:type="spellStart"/>
            <w:r w:rsidRPr="007B7715">
              <w:rPr>
                <w:sz w:val="18"/>
                <w:szCs w:val="18"/>
                <w:lang w:val="en-US"/>
              </w:rPr>
              <w:t>Uzen</w:t>
            </w:r>
            <w:proofErr w:type="spellEnd"/>
            <w:r w:rsidRPr="007B7715">
              <w:rPr>
                <w:sz w:val="18"/>
                <w:szCs w:val="18"/>
                <w:lang w:val="en-US"/>
              </w:rPr>
              <w:t>-state border with Turkmenistan, the opening of new railway stations, the introduction of new passenger routes, the creation of new organizations on alternative energy, expanding the geography of flights and fleet of Air Astana.</w:t>
            </w:r>
          </w:p>
        </w:tc>
        <w:tc>
          <w:tcPr>
            <w:tcW w:w="1701" w:type="dxa"/>
            <w:tcBorders>
              <w:top w:val="single" w:sz="4" w:space="0" w:color="auto"/>
              <w:left w:val="nil"/>
              <w:right w:val="single" w:sz="4" w:space="0" w:color="auto"/>
            </w:tcBorders>
            <w:vAlign w:val="center"/>
          </w:tcPr>
          <w:p w:rsidR="0053049D" w:rsidRPr="00663D89" w:rsidRDefault="0053049D" w:rsidP="007B14F2">
            <w:pPr>
              <w:jc w:val="center"/>
              <w:rPr>
                <w:sz w:val="18"/>
                <w:szCs w:val="18"/>
              </w:rPr>
            </w:pPr>
            <w:r w:rsidRPr="00663D89">
              <w:rPr>
                <w:sz w:val="18"/>
                <w:szCs w:val="18"/>
              </w:rPr>
              <w:t>-2</w:t>
            </w:r>
            <w:r w:rsidR="008E5CE6">
              <w:rPr>
                <w:sz w:val="18"/>
                <w:szCs w:val="18"/>
              </w:rPr>
              <w:t>1</w:t>
            </w:r>
            <w:r w:rsidR="007B14F2">
              <w:rPr>
                <w:sz w:val="18"/>
                <w:szCs w:val="18"/>
              </w:rPr>
              <w:t>8</w:t>
            </w:r>
          </w:p>
        </w:tc>
      </w:tr>
      <w:tr w:rsidR="0053049D" w:rsidRPr="0049185F" w:rsidTr="000E2F90">
        <w:trPr>
          <w:trHeight w:val="27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sidRPr="007B7715">
              <w:rPr>
                <w:sz w:val="18"/>
                <w:szCs w:val="18"/>
                <w:lang w:val="en-US"/>
              </w:rPr>
              <w:t>Decline in revenue from the sale of uranium products</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-20</w:t>
            </w:r>
          </w:p>
        </w:tc>
      </w:tr>
      <w:tr w:rsidR="0053049D" w:rsidRPr="0049185F" w:rsidTr="000E2F90">
        <w:trPr>
          <w:trHeight w:val="27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sidRPr="007B7715">
              <w:rPr>
                <w:sz w:val="18"/>
                <w:szCs w:val="18"/>
                <w:lang w:val="en-US"/>
              </w:rPr>
              <w:t xml:space="preserve">Change in share of income, mostly </w:t>
            </w:r>
            <w:r>
              <w:rPr>
                <w:sz w:val="18"/>
                <w:szCs w:val="18"/>
                <w:lang w:val="en-US"/>
              </w:rPr>
              <w:t xml:space="preserve">of </w:t>
            </w:r>
            <w:r w:rsidRPr="007B7715">
              <w:rPr>
                <w:sz w:val="18"/>
                <w:szCs w:val="18"/>
                <w:lang w:val="en-US"/>
              </w:rPr>
              <w:t>joint ventures and associated companies of oil and gas and mining segments</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53049D" w:rsidP="00617070">
            <w:pPr>
              <w:jc w:val="center"/>
              <w:rPr>
                <w:sz w:val="18"/>
                <w:szCs w:val="18"/>
              </w:rPr>
            </w:pPr>
            <w:r w:rsidRPr="00663D89">
              <w:rPr>
                <w:sz w:val="18"/>
                <w:szCs w:val="18"/>
              </w:rPr>
              <w:t>-20</w:t>
            </w:r>
          </w:p>
        </w:tc>
      </w:tr>
      <w:tr w:rsidR="0053049D" w:rsidRPr="0053049D" w:rsidTr="000E2F90">
        <w:trPr>
          <w:trHeight w:val="270"/>
        </w:trPr>
        <w:tc>
          <w:tcPr>
            <w:tcW w:w="7825" w:type="dxa"/>
            <w:tcBorders>
              <w:top w:val="single" w:sz="4" w:space="0" w:color="auto"/>
              <w:left w:val="single" w:sz="4" w:space="0" w:color="auto"/>
              <w:bottom w:val="single" w:sz="4" w:space="0" w:color="auto"/>
              <w:right w:val="single" w:sz="4" w:space="0" w:color="auto"/>
            </w:tcBorders>
            <w:shd w:val="clear" w:color="auto" w:fill="auto"/>
          </w:tcPr>
          <w:p w:rsidR="0053049D" w:rsidRPr="007B7715" w:rsidRDefault="0053049D" w:rsidP="00617070">
            <w:pPr>
              <w:rPr>
                <w:sz w:val="18"/>
                <w:szCs w:val="18"/>
                <w:lang w:val="en-US"/>
              </w:rPr>
            </w:pPr>
            <w:r>
              <w:rPr>
                <w:sz w:val="18"/>
                <w:szCs w:val="18"/>
                <w:lang w:val="en-US"/>
              </w:rPr>
              <w:t>Other</w:t>
            </w:r>
          </w:p>
        </w:tc>
        <w:tc>
          <w:tcPr>
            <w:tcW w:w="1701" w:type="dxa"/>
            <w:tcBorders>
              <w:top w:val="single" w:sz="4" w:space="0" w:color="auto"/>
              <w:left w:val="nil"/>
              <w:bottom w:val="single" w:sz="4" w:space="0" w:color="auto"/>
              <w:right w:val="single" w:sz="4" w:space="0" w:color="auto"/>
            </w:tcBorders>
            <w:vAlign w:val="center"/>
          </w:tcPr>
          <w:p w:rsidR="0053049D" w:rsidRPr="00663D89" w:rsidRDefault="008E5CE6" w:rsidP="007B14F2">
            <w:pPr>
              <w:jc w:val="center"/>
              <w:rPr>
                <w:sz w:val="18"/>
                <w:szCs w:val="18"/>
              </w:rPr>
            </w:pPr>
            <w:r>
              <w:rPr>
                <w:sz w:val="18"/>
                <w:szCs w:val="18"/>
              </w:rPr>
              <w:t>-</w:t>
            </w:r>
            <w:r w:rsidR="007B14F2">
              <w:rPr>
                <w:sz w:val="18"/>
                <w:szCs w:val="18"/>
              </w:rPr>
              <w:t>16</w:t>
            </w:r>
          </w:p>
        </w:tc>
      </w:tr>
    </w:tbl>
    <w:p w:rsidR="003A1285" w:rsidRPr="0053049D" w:rsidRDefault="003A1285" w:rsidP="003A1285">
      <w:pPr>
        <w:tabs>
          <w:tab w:val="left" w:pos="426"/>
        </w:tabs>
        <w:autoSpaceDE w:val="0"/>
        <w:autoSpaceDN w:val="0"/>
        <w:adjustRightInd w:val="0"/>
        <w:ind w:left="-709" w:firstLine="709"/>
        <w:jc w:val="both"/>
        <w:rPr>
          <w:rStyle w:val="apple-style-span"/>
          <w:sz w:val="22"/>
          <w:szCs w:val="22"/>
          <w:shd w:val="clear" w:color="auto" w:fill="FFFFFF"/>
          <w:lang w:val="en-US"/>
        </w:rPr>
      </w:pPr>
    </w:p>
    <w:p w:rsidR="003A1285" w:rsidRDefault="00154CB4" w:rsidP="003A1285">
      <w:pPr>
        <w:tabs>
          <w:tab w:val="left" w:pos="426"/>
        </w:tabs>
        <w:autoSpaceDE w:val="0"/>
        <w:autoSpaceDN w:val="0"/>
        <w:adjustRightInd w:val="0"/>
        <w:ind w:left="-709" w:firstLine="709"/>
        <w:jc w:val="both"/>
        <w:rPr>
          <w:noProof/>
          <w:color w:val="000000"/>
          <w:sz w:val="22"/>
          <w:szCs w:val="22"/>
          <w:lang w:val="en-US"/>
        </w:rPr>
      </w:pPr>
      <w:r w:rsidRPr="00154CB4">
        <w:rPr>
          <w:noProof/>
          <w:color w:val="000000"/>
          <w:sz w:val="22"/>
          <w:szCs w:val="22"/>
          <w:lang w:val="en-US"/>
        </w:rPr>
        <w:t xml:space="preserve">In the long term, the Fund does not intend to hold share in </w:t>
      </w:r>
      <w:r>
        <w:rPr>
          <w:noProof/>
          <w:color w:val="000000"/>
          <w:sz w:val="22"/>
          <w:szCs w:val="22"/>
          <w:lang w:val="en-US"/>
        </w:rPr>
        <w:t>“</w:t>
      </w:r>
      <w:r w:rsidRPr="00154CB4">
        <w:rPr>
          <w:noProof/>
          <w:color w:val="000000"/>
          <w:sz w:val="22"/>
          <w:szCs w:val="22"/>
          <w:lang w:val="en-US"/>
        </w:rPr>
        <w:t>BTA Bank</w:t>
      </w:r>
      <w:r>
        <w:rPr>
          <w:noProof/>
          <w:color w:val="000000"/>
          <w:sz w:val="22"/>
          <w:szCs w:val="22"/>
          <w:lang w:val="en-US"/>
        </w:rPr>
        <w:t>”</w:t>
      </w:r>
      <w:r w:rsidRPr="00154CB4">
        <w:rPr>
          <w:noProof/>
          <w:color w:val="000000"/>
          <w:sz w:val="22"/>
          <w:szCs w:val="22"/>
          <w:lang w:val="en-US"/>
        </w:rPr>
        <w:t xml:space="preserve"> JSC</w:t>
      </w:r>
      <w:r>
        <w:rPr>
          <w:noProof/>
          <w:color w:val="000000"/>
          <w:sz w:val="22"/>
          <w:szCs w:val="22"/>
          <w:lang w:val="en-US"/>
        </w:rPr>
        <w:t>,</w:t>
      </w:r>
      <w:r w:rsidRPr="00154CB4">
        <w:rPr>
          <w:noProof/>
          <w:color w:val="000000"/>
          <w:sz w:val="22"/>
          <w:szCs w:val="22"/>
          <w:lang w:val="en-US"/>
        </w:rPr>
        <w:t xml:space="preserve"> </w:t>
      </w:r>
      <w:r>
        <w:rPr>
          <w:noProof/>
          <w:color w:val="000000"/>
          <w:sz w:val="22"/>
          <w:szCs w:val="22"/>
          <w:lang w:val="en-US"/>
        </w:rPr>
        <w:t>“</w:t>
      </w:r>
      <w:r w:rsidRPr="00154CB4">
        <w:rPr>
          <w:noProof/>
          <w:color w:val="000000"/>
          <w:sz w:val="22"/>
          <w:szCs w:val="22"/>
          <w:lang w:val="en-US"/>
        </w:rPr>
        <w:t>Alliance Bank</w:t>
      </w:r>
      <w:r>
        <w:rPr>
          <w:noProof/>
          <w:color w:val="000000"/>
          <w:sz w:val="22"/>
          <w:szCs w:val="22"/>
          <w:lang w:val="en-US"/>
        </w:rPr>
        <w:t>”</w:t>
      </w:r>
      <w:r w:rsidRPr="00154CB4">
        <w:rPr>
          <w:noProof/>
          <w:color w:val="000000"/>
          <w:sz w:val="22"/>
          <w:szCs w:val="22"/>
          <w:lang w:val="en-US"/>
        </w:rPr>
        <w:t xml:space="preserve"> JSC</w:t>
      </w:r>
      <w:r>
        <w:rPr>
          <w:noProof/>
          <w:color w:val="000000"/>
          <w:sz w:val="22"/>
          <w:szCs w:val="22"/>
          <w:lang w:val="en-US"/>
        </w:rPr>
        <w:t xml:space="preserve"> and “</w:t>
      </w:r>
      <w:r w:rsidRPr="00154CB4">
        <w:rPr>
          <w:noProof/>
          <w:color w:val="000000"/>
          <w:sz w:val="22"/>
          <w:szCs w:val="22"/>
          <w:lang w:val="en-US"/>
        </w:rPr>
        <w:t>Temirbank</w:t>
      </w:r>
      <w:r>
        <w:rPr>
          <w:noProof/>
          <w:color w:val="000000"/>
          <w:sz w:val="22"/>
          <w:szCs w:val="22"/>
          <w:lang w:val="en-US"/>
        </w:rPr>
        <w:t>” JSC</w:t>
      </w:r>
      <w:r w:rsidRPr="00154CB4">
        <w:rPr>
          <w:noProof/>
          <w:color w:val="000000"/>
          <w:sz w:val="22"/>
          <w:szCs w:val="22"/>
          <w:lang w:val="en-US"/>
        </w:rPr>
        <w:t xml:space="preserve">. </w:t>
      </w:r>
      <w:r>
        <w:rPr>
          <w:noProof/>
          <w:color w:val="000000"/>
          <w:sz w:val="22"/>
          <w:szCs w:val="22"/>
          <w:lang w:val="en-US"/>
        </w:rPr>
        <w:t xml:space="preserve">The </w:t>
      </w:r>
      <w:r w:rsidRPr="00154CB4">
        <w:rPr>
          <w:noProof/>
          <w:color w:val="000000"/>
          <w:sz w:val="22"/>
          <w:szCs w:val="22"/>
          <w:lang w:val="en-US"/>
        </w:rPr>
        <w:t xml:space="preserve">Fund will </w:t>
      </w:r>
      <w:r>
        <w:rPr>
          <w:noProof/>
          <w:color w:val="000000"/>
          <w:sz w:val="22"/>
          <w:szCs w:val="22"/>
          <w:lang w:val="en-US"/>
        </w:rPr>
        <w:t xml:space="preserve"> </w:t>
      </w:r>
      <w:r w:rsidRPr="00154CB4">
        <w:rPr>
          <w:noProof/>
          <w:color w:val="000000"/>
          <w:sz w:val="22"/>
          <w:szCs w:val="22"/>
          <w:lang w:val="en-US"/>
        </w:rPr>
        <w:t>develop proposals for the sale of its own</w:t>
      </w:r>
      <w:r>
        <w:rPr>
          <w:noProof/>
          <w:color w:val="000000"/>
          <w:sz w:val="22"/>
          <w:szCs w:val="22"/>
          <w:lang w:val="en-US"/>
        </w:rPr>
        <w:t>ed</w:t>
      </w:r>
      <w:r w:rsidRPr="00154CB4">
        <w:rPr>
          <w:noProof/>
          <w:color w:val="000000"/>
          <w:sz w:val="22"/>
          <w:szCs w:val="22"/>
          <w:lang w:val="en-US"/>
        </w:rPr>
        <w:t xml:space="preserve"> shares of </w:t>
      </w:r>
      <w:r>
        <w:rPr>
          <w:noProof/>
          <w:color w:val="000000"/>
          <w:sz w:val="22"/>
          <w:szCs w:val="22"/>
          <w:lang w:val="en-US"/>
        </w:rPr>
        <w:t xml:space="preserve">second-tier </w:t>
      </w:r>
      <w:r w:rsidRPr="00154CB4">
        <w:rPr>
          <w:noProof/>
          <w:color w:val="000000"/>
          <w:sz w:val="22"/>
          <w:szCs w:val="22"/>
          <w:lang w:val="en-US"/>
        </w:rPr>
        <w:t>banks, carr</w:t>
      </w:r>
      <w:r>
        <w:rPr>
          <w:noProof/>
          <w:color w:val="000000"/>
          <w:sz w:val="22"/>
          <w:szCs w:val="22"/>
          <w:lang w:val="en-US"/>
        </w:rPr>
        <w:t>y</w:t>
      </w:r>
      <w:r w:rsidRPr="00154CB4">
        <w:rPr>
          <w:noProof/>
          <w:color w:val="000000"/>
          <w:sz w:val="22"/>
          <w:szCs w:val="22"/>
          <w:lang w:val="en-US"/>
        </w:rPr>
        <w:t xml:space="preserve"> out search and negotiations with potential investors. Before the sale of shares of </w:t>
      </w:r>
      <w:r>
        <w:rPr>
          <w:noProof/>
          <w:color w:val="000000"/>
          <w:sz w:val="22"/>
          <w:szCs w:val="22"/>
          <w:lang w:val="en-US"/>
        </w:rPr>
        <w:t>“</w:t>
      </w:r>
      <w:r w:rsidRPr="00154CB4">
        <w:rPr>
          <w:noProof/>
          <w:color w:val="000000"/>
          <w:sz w:val="22"/>
          <w:szCs w:val="22"/>
          <w:lang w:val="en-US"/>
        </w:rPr>
        <w:t>Alliance Bank</w:t>
      </w:r>
      <w:r>
        <w:rPr>
          <w:noProof/>
          <w:color w:val="000000"/>
          <w:sz w:val="22"/>
          <w:szCs w:val="22"/>
          <w:lang w:val="en-US"/>
        </w:rPr>
        <w:t>” JSC</w:t>
      </w:r>
      <w:r w:rsidRPr="00154CB4">
        <w:rPr>
          <w:noProof/>
          <w:color w:val="000000"/>
          <w:sz w:val="22"/>
          <w:szCs w:val="22"/>
          <w:lang w:val="en-US"/>
        </w:rPr>
        <w:t xml:space="preserve">, </w:t>
      </w:r>
      <w:r>
        <w:rPr>
          <w:noProof/>
          <w:color w:val="000000"/>
          <w:sz w:val="22"/>
          <w:szCs w:val="22"/>
          <w:lang w:val="en-US"/>
        </w:rPr>
        <w:t xml:space="preserve"> “</w:t>
      </w:r>
      <w:r w:rsidRPr="00154CB4">
        <w:rPr>
          <w:noProof/>
          <w:color w:val="000000"/>
          <w:sz w:val="22"/>
          <w:szCs w:val="22"/>
          <w:lang w:val="en-US"/>
        </w:rPr>
        <w:t>Temirbank</w:t>
      </w:r>
      <w:r>
        <w:rPr>
          <w:noProof/>
          <w:color w:val="000000"/>
          <w:sz w:val="22"/>
          <w:szCs w:val="22"/>
          <w:lang w:val="en-US"/>
        </w:rPr>
        <w:t>” JSC</w:t>
      </w:r>
      <w:r w:rsidRPr="00154CB4">
        <w:rPr>
          <w:noProof/>
          <w:color w:val="000000"/>
          <w:sz w:val="22"/>
          <w:szCs w:val="22"/>
          <w:lang w:val="en-US"/>
        </w:rPr>
        <w:t xml:space="preserve"> and </w:t>
      </w:r>
      <w:r>
        <w:rPr>
          <w:noProof/>
          <w:color w:val="000000"/>
          <w:sz w:val="22"/>
          <w:szCs w:val="22"/>
          <w:lang w:val="en-US"/>
        </w:rPr>
        <w:t>“BTA Bank” JSC</w:t>
      </w:r>
      <w:r w:rsidRPr="00154CB4">
        <w:rPr>
          <w:noProof/>
          <w:color w:val="000000"/>
          <w:sz w:val="22"/>
          <w:szCs w:val="22"/>
          <w:lang w:val="en-US"/>
        </w:rPr>
        <w:t xml:space="preserve"> </w:t>
      </w:r>
      <w:r>
        <w:rPr>
          <w:noProof/>
          <w:color w:val="000000"/>
          <w:sz w:val="22"/>
          <w:szCs w:val="22"/>
          <w:lang w:val="en-US"/>
        </w:rPr>
        <w:t>t</w:t>
      </w:r>
      <w:r w:rsidRPr="00154CB4">
        <w:rPr>
          <w:noProof/>
          <w:color w:val="000000"/>
          <w:sz w:val="22"/>
          <w:szCs w:val="22"/>
          <w:lang w:val="en-US"/>
        </w:rPr>
        <w:t>he Fund will continue to work actively to restore their financial condition.</w:t>
      </w:r>
    </w:p>
    <w:p w:rsidR="00154CB4" w:rsidRPr="00154CB4" w:rsidRDefault="00154CB4" w:rsidP="003A1285">
      <w:pPr>
        <w:tabs>
          <w:tab w:val="left" w:pos="426"/>
        </w:tabs>
        <w:autoSpaceDE w:val="0"/>
        <w:autoSpaceDN w:val="0"/>
        <w:adjustRightInd w:val="0"/>
        <w:ind w:left="-709" w:firstLine="709"/>
        <w:jc w:val="both"/>
        <w:rPr>
          <w:noProof/>
          <w:color w:val="000000"/>
          <w:sz w:val="22"/>
          <w:szCs w:val="22"/>
          <w:lang w:val="en-US"/>
        </w:rPr>
      </w:pPr>
    </w:p>
    <w:p w:rsidR="003A1285" w:rsidRPr="00183BC7" w:rsidRDefault="003A1285" w:rsidP="003A1285">
      <w:pPr>
        <w:pStyle w:val="a3"/>
        <w:numPr>
          <w:ilvl w:val="1"/>
          <w:numId w:val="2"/>
        </w:numPr>
        <w:tabs>
          <w:tab w:val="left" w:pos="426"/>
        </w:tabs>
        <w:autoSpaceDE w:val="0"/>
        <w:autoSpaceDN w:val="0"/>
        <w:adjustRightInd w:val="0"/>
        <w:jc w:val="both"/>
        <w:rPr>
          <w:rFonts w:ascii="Arial" w:hAnsi="Arial" w:cs="Arial"/>
          <w:noProof/>
          <w:color w:val="FF0000"/>
          <w:sz w:val="20"/>
          <w:szCs w:val="20"/>
          <w:lang w:val="en-US"/>
        </w:rPr>
      </w:pPr>
      <w:r w:rsidRPr="00183BC7">
        <w:rPr>
          <w:b/>
          <w:noProof/>
          <w:color w:val="000000"/>
          <w:sz w:val="22"/>
          <w:szCs w:val="22"/>
          <w:lang w:val="en-US"/>
        </w:rPr>
        <w:t xml:space="preserve">Financial indicators for </w:t>
      </w:r>
      <w:r w:rsidR="000C00FB">
        <w:rPr>
          <w:b/>
          <w:noProof/>
          <w:color w:val="000000"/>
          <w:sz w:val="22"/>
          <w:szCs w:val="22"/>
          <w:lang w:val="en-US"/>
        </w:rPr>
        <w:t>H1 2012</w:t>
      </w:r>
      <w:r w:rsidRPr="00183BC7">
        <w:rPr>
          <w:b/>
          <w:noProof/>
          <w:color w:val="000000"/>
          <w:sz w:val="22"/>
          <w:szCs w:val="22"/>
          <w:lang w:val="en-US"/>
        </w:rPr>
        <w:t xml:space="preserve"> by the segments</w:t>
      </w:r>
      <w:r w:rsidRPr="00CA79AA">
        <w:rPr>
          <w:b/>
          <w:noProof/>
          <w:color w:val="000000"/>
          <w:sz w:val="22"/>
          <w:szCs w:val="22"/>
          <w:lang w:val="en-US"/>
        </w:rPr>
        <w:t xml:space="preserve"> </w:t>
      </w:r>
      <w:r>
        <w:rPr>
          <w:b/>
          <w:sz w:val="22"/>
          <w:szCs w:val="22"/>
          <w:lang w:val="en-US"/>
        </w:rPr>
        <w:t>and capital resources</w:t>
      </w:r>
      <w:r w:rsidR="00154CB4">
        <w:rPr>
          <w:rStyle w:val="af5"/>
          <w:b/>
          <w:sz w:val="22"/>
          <w:szCs w:val="22"/>
          <w:lang w:val="en-US"/>
        </w:rPr>
        <w:footnoteReference w:id="7"/>
      </w:r>
      <w:r w:rsidRPr="00183BC7">
        <w:rPr>
          <w:b/>
          <w:noProof/>
          <w:color w:val="000000"/>
          <w:sz w:val="22"/>
          <w:szCs w:val="22"/>
          <w:lang w:val="en-US"/>
        </w:rPr>
        <w:t xml:space="preserve"> </w:t>
      </w:r>
    </w:p>
    <w:p w:rsidR="003A1285" w:rsidRPr="00471013" w:rsidRDefault="003A1285" w:rsidP="003A1285">
      <w:pPr>
        <w:tabs>
          <w:tab w:val="left" w:pos="426"/>
        </w:tabs>
        <w:autoSpaceDE w:val="0"/>
        <w:autoSpaceDN w:val="0"/>
        <w:adjustRightInd w:val="0"/>
        <w:ind w:left="-567" w:firstLine="709"/>
        <w:jc w:val="right"/>
        <w:rPr>
          <w:noProof/>
          <w:color w:val="000000"/>
          <w:sz w:val="18"/>
          <w:szCs w:val="18"/>
          <w:lang w:val="en-US"/>
        </w:rPr>
      </w:pPr>
      <w:r>
        <w:rPr>
          <w:noProof/>
          <w:color w:val="000000"/>
          <w:sz w:val="18"/>
          <w:szCs w:val="18"/>
          <w:lang w:val="en-US"/>
        </w:rPr>
        <w:t>KZT billion</w:t>
      </w:r>
    </w:p>
    <w:tbl>
      <w:tblPr>
        <w:tblW w:w="10348" w:type="dxa"/>
        <w:tblInd w:w="-60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694"/>
        <w:gridCol w:w="992"/>
        <w:gridCol w:w="993"/>
        <w:gridCol w:w="992"/>
        <w:gridCol w:w="992"/>
        <w:gridCol w:w="992"/>
        <w:gridCol w:w="1418"/>
        <w:gridCol w:w="1275"/>
      </w:tblGrid>
      <w:tr w:rsidR="003A1285" w:rsidRPr="007D502E" w:rsidTr="00770BC8">
        <w:trPr>
          <w:trHeight w:val="312"/>
        </w:trPr>
        <w:tc>
          <w:tcPr>
            <w:tcW w:w="2694" w:type="dxa"/>
            <w:vMerge w:val="restart"/>
            <w:shd w:val="clear" w:color="000000" w:fill="auto"/>
            <w:vAlign w:val="center"/>
            <w:hideMark/>
          </w:tcPr>
          <w:p w:rsidR="003A1285" w:rsidRPr="00247A34" w:rsidRDefault="003A1285" w:rsidP="00770BC8">
            <w:pPr>
              <w:jc w:val="center"/>
              <w:rPr>
                <w:b/>
                <w:bCs/>
                <w:color w:val="000000"/>
                <w:sz w:val="18"/>
                <w:szCs w:val="18"/>
                <w:lang w:val="en-US"/>
              </w:rPr>
            </w:pPr>
            <w:r>
              <w:rPr>
                <w:b/>
                <w:bCs/>
                <w:color w:val="000000"/>
                <w:sz w:val="18"/>
                <w:szCs w:val="18"/>
                <w:lang w:val="en-US"/>
              </w:rPr>
              <w:t xml:space="preserve">Name </w:t>
            </w:r>
          </w:p>
        </w:tc>
        <w:tc>
          <w:tcPr>
            <w:tcW w:w="992" w:type="dxa"/>
            <w:vMerge w:val="restart"/>
            <w:shd w:val="clear" w:color="000000" w:fill="auto"/>
            <w:vAlign w:val="center"/>
            <w:hideMark/>
          </w:tcPr>
          <w:p w:rsidR="003A1285" w:rsidRPr="00247A34" w:rsidRDefault="003A1285" w:rsidP="00770BC8">
            <w:pPr>
              <w:jc w:val="center"/>
              <w:rPr>
                <w:b/>
                <w:bCs/>
                <w:color w:val="000000"/>
                <w:sz w:val="18"/>
                <w:szCs w:val="18"/>
                <w:lang w:val="en-US"/>
              </w:rPr>
            </w:pPr>
            <w:r>
              <w:rPr>
                <w:b/>
                <w:bCs/>
                <w:color w:val="000000"/>
                <w:sz w:val="18"/>
                <w:szCs w:val="18"/>
                <w:lang w:val="en-US"/>
              </w:rPr>
              <w:t>Oil &amp; Gas</w:t>
            </w:r>
          </w:p>
        </w:tc>
        <w:tc>
          <w:tcPr>
            <w:tcW w:w="993" w:type="dxa"/>
            <w:vMerge w:val="restart"/>
            <w:shd w:val="clear" w:color="000000" w:fill="auto"/>
            <w:vAlign w:val="center"/>
            <w:hideMark/>
          </w:tcPr>
          <w:p w:rsidR="003A1285" w:rsidRPr="00183BC7" w:rsidRDefault="003A1285" w:rsidP="00770BC8">
            <w:pPr>
              <w:jc w:val="center"/>
              <w:rPr>
                <w:b/>
                <w:bCs/>
                <w:color w:val="000000"/>
                <w:sz w:val="18"/>
                <w:szCs w:val="18"/>
                <w:lang w:val="en-US"/>
              </w:rPr>
            </w:pPr>
            <w:r w:rsidRPr="00183BC7">
              <w:rPr>
                <w:b/>
                <w:bCs/>
                <w:color w:val="000000"/>
                <w:sz w:val="18"/>
                <w:szCs w:val="18"/>
                <w:lang w:val="en-US"/>
              </w:rPr>
              <w:t>Mining and industrial</w:t>
            </w:r>
          </w:p>
          <w:p w:rsidR="003A1285" w:rsidRPr="00247A34" w:rsidRDefault="003A1285" w:rsidP="00770BC8">
            <w:pPr>
              <w:jc w:val="center"/>
              <w:rPr>
                <w:b/>
                <w:bCs/>
                <w:color w:val="000000"/>
                <w:sz w:val="18"/>
                <w:szCs w:val="18"/>
                <w:lang w:val="en-US"/>
              </w:rPr>
            </w:pPr>
            <w:r>
              <w:rPr>
                <w:b/>
                <w:bCs/>
                <w:color w:val="000000"/>
                <w:sz w:val="18"/>
                <w:szCs w:val="18"/>
                <w:lang w:val="en-US"/>
              </w:rPr>
              <w:t xml:space="preserve"> </w:t>
            </w:r>
          </w:p>
        </w:tc>
        <w:tc>
          <w:tcPr>
            <w:tcW w:w="992" w:type="dxa"/>
            <w:vMerge w:val="restart"/>
            <w:shd w:val="clear" w:color="000000" w:fill="auto"/>
            <w:vAlign w:val="center"/>
            <w:hideMark/>
          </w:tcPr>
          <w:p w:rsidR="003A1285" w:rsidRPr="00247A34" w:rsidRDefault="003A1285" w:rsidP="00770BC8">
            <w:pPr>
              <w:jc w:val="center"/>
              <w:rPr>
                <w:b/>
                <w:color w:val="000000"/>
                <w:sz w:val="18"/>
                <w:szCs w:val="18"/>
                <w:lang w:val="en-US"/>
              </w:rPr>
            </w:pPr>
            <w:r>
              <w:rPr>
                <w:b/>
                <w:color w:val="000000"/>
                <w:sz w:val="18"/>
                <w:szCs w:val="18"/>
                <w:lang w:val="en-US"/>
              </w:rPr>
              <w:t xml:space="preserve">Transportation </w:t>
            </w:r>
          </w:p>
        </w:tc>
        <w:tc>
          <w:tcPr>
            <w:tcW w:w="992" w:type="dxa"/>
            <w:vMerge w:val="restart"/>
            <w:shd w:val="clear" w:color="000000" w:fill="auto"/>
            <w:vAlign w:val="center"/>
            <w:hideMark/>
          </w:tcPr>
          <w:p w:rsidR="003A1285" w:rsidRPr="00247A34" w:rsidRDefault="003A1285" w:rsidP="00770BC8">
            <w:pPr>
              <w:jc w:val="center"/>
              <w:rPr>
                <w:b/>
                <w:color w:val="000000"/>
                <w:sz w:val="18"/>
                <w:szCs w:val="18"/>
                <w:lang w:val="en-US"/>
              </w:rPr>
            </w:pPr>
            <w:r>
              <w:rPr>
                <w:b/>
                <w:color w:val="000000"/>
                <w:sz w:val="18"/>
                <w:szCs w:val="18"/>
                <w:lang w:val="en-US"/>
              </w:rPr>
              <w:t xml:space="preserve">Telecommunications </w:t>
            </w:r>
          </w:p>
        </w:tc>
        <w:tc>
          <w:tcPr>
            <w:tcW w:w="992" w:type="dxa"/>
            <w:vMerge w:val="restart"/>
            <w:shd w:val="clear" w:color="000000" w:fill="auto"/>
            <w:vAlign w:val="center"/>
            <w:hideMark/>
          </w:tcPr>
          <w:p w:rsidR="003A1285" w:rsidRPr="00247A34" w:rsidRDefault="003A1285" w:rsidP="00770BC8">
            <w:pPr>
              <w:jc w:val="center"/>
              <w:rPr>
                <w:b/>
                <w:color w:val="000000"/>
                <w:sz w:val="18"/>
                <w:szCs w:val="18"/>
                <w:lang w:val="en-US"/>
              </w:rPr>
            </w:pPr>
            <w:r>
              <w:rPr>
                <w:b/>
                <w:color w:val="000000"/>
                <w:sz w:val="18"/>
                <w:szCs w:val="18"/>
                <w:lang w:val="en-US"/>
              </w:rPr>
              <w:t xml:space="preserve">Power </w:t>
            </w:r>
          </w:p>
        </w:tc>
        <w:tc>
          <w:tcPr>
            <w:tcW w:w="1418" w:type="dxa"/>
            <w:vMerge w:val="restart"/>
            <w:shd w:val="clear" w:color="000000" w:fill="auto"/>
            <w:vAlign w:val="center"/>
            <w:hideMark/>
          </w:tcPr>
          <w:p w:rsidR="003A1285" w:rsidRPr="00247A34" w:rsidRDefault="003A1285" w:rsidP="00770BC8">
            <w:pPr>
              <w:jc w:val="center"/>
              <w:rPr>
                <w:b/>
                <w:color w:val="000000"/>
                <w:sz w:val="18"/>
                <w:szCs w:val="18"/>
                <w:lang w:val="en-US"/>
              </w:rPr>
            </w:pPr>
            <w:r>
              <w:rPr>
                <w:b/>
                <w:color w:val="000000"/>
                <w:sz w:val="18"/>
                <w:szCs w:val="18"/>
                <w:lang w:val="en-US"/>
              </w:rPr>
              <w:t xml:space="preserve">Financial institutes and development institutes </w:t>
            </w:r>
          </w:p>
        </w:tc>
        <w:tc>
          <w:tcPr>
            <w:tcW w:w="1275" w:type="dxa"/>
            <w:vMerge w:val="restart"/>
            <w:shd w:val="clear" w:color="000000" w:fill="auto"/>
            <w:vAlign w:val="center"/>
            <w:hideMark/>
          </w:tcPr>
          <w:p w:rsidR="003A1285" w:rsidRPr="00247A34" w:rsidRDefault="003A1285" w:rsidP="00770BC8">
            <w:pPr>
              <w:jc w:val="center"/>
              <w:rPr>
                <w:b/>
                <w:color w:val="000000"/>
                <w:sz w:val="18"/>
                <w:szCs w:val="18"/>
                <w:lang w:val="en-US"/>
              </w:rPr>
            </w:pPr>
            <w:r>
              <w:rPr>
                <w:b/>
                <w:color w:val="000000"/>
                <w:sz w:val="18"/>
                <w:szCs w:val="18"/>
                <w:lang w:val="en-US"/>
              </w:rPr>
              <w:t>Corporate Centre and projects</w:t>
            </w:r>
          </w:p>
        </w:tc>
      </w:tr>
      <w:tr w:rsidR="003A1285" w:rsidRPr="007D502E" w:rsidTr="00770BC8">
        <w:trPr>
          <w:trHeight w:val="300"/>
        </w:trPr>
        <w:tc>
          <w:tcPr>
            <w:tcW w:w="2694" w:type="dxa"/>
            <w:vMerge/>
            <w:shd w:val="clear" w:color="000000" w:fill="auto"/>
            <w:vAlign w:val="center"/>
            <w:hideMark/>
          </w:tcPr>
          <w:p w:rsidR="003A1285" w:rsidRPr="00B818C6" w:rsidRDefault="003A1285" w:rsidP="00770BC8">
            <w:pPr>
              <w:rPr>
                <w:b/>
                <w:bCs/>
                <w:color w:val="000000"/>
                <w:sz w:val="18"/>
                <w:szCs w:val="18"/>
              </w:rPr>
            </w:pPr>
          </w:p>
        </w:tc>
        <w:tc>
          <w:tcPr>
            <w:tcW w:w="992" w:type="dxa"/>
            <w:vMerge/>
            <w:shd w:val="clear" w:color="000000" w:fill="auto"/>
            <w:vAlign w:val="center"/>
            <w:hideMark/>
          </w:tcPr>
          <w:p w:rsidR="003A1285" w:rsidRPr="00B818C6" w:rsidRDefault="003A1285" w:rsidP="00770BC8">
            <w:pPr>
              <w:rPr>
                <w:b/>
                <w:bCs/>
                <w:color w:val="000000"/>
                <w:sz w:val="18"/>
                <w:szCs w:val="18"/>
              </w:rPr>
            </w:pPr>
          </w:p>
        </w:tc>
        <w:tc>
          <w:tcPr>
            <w:tcW w:w="993" w:type="dxa"/>
            <w:vMerge/>
            <w:shd w:val="clear" w:color="000000" w:fill="auto"/>
            <w:vAlign w:val="center"/>
            <w:hideMark/>
          </w:tcPr>
          <w:p w:rsidR="003A1285" w:rsidRPr="00B818C6" w:rsidRDefault="003A1285" w:rsidP="00770BC8">
            <w:pPr>
              <w:rPr>
                <w:b/>
                <w:bCs/>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1418" w:type="dxa"/>
            <w:vMerge/>
            <w:shd w:val="clear" w:color="000000" w:fill="auto"/>
            <w:vAlign w:val="center"/>
            <w:hideMark/>
          </w:tcPr>
          <w:p w:rsidR="003A1285" w:rsidRPr="00B818C6" w:rsidRDefault="003A1285" w:rsidP="00770BC8">
            <w:pPr>
              <w:rPr>
                <w:color w:val="000000"/>
                <w:sz w:val="18"/>
                <w:szCs w:val="18"/>
              </w:rPr>
            </w:pPr>
          </w:p>
        </w:tc>
        <w:tc>
          <w:tcPr>
            <w:tcW w:w="1275" w:type="dxa"/>
            <w:vMerge/>
            <w:shd w:val="clear" w:color="000000" w:fill="auto"/>
            <w:vAlign w:val="center"/>
            <w:hideMark/>
          </w:tcPr>
          <w:p w:rsidR="003A1285" w:rsidRPr="00B818C6" w:rsidRDefault="003A1285" w:rsidP="00770BC8">
            <w:pPr>
              <w:rPr>
                <w:color w:val="000000"/>
                <w:sz w:val="18"/>
                <w:szCs w:val="18"/>
              </w:rPr>
            </w:pPr>
          </w:p>
        </w:tc>
      </w:tr>
      <w:tr w:rsidR="003A1285" w:rsidRPr="007D502E" w:rsidTr="00770BC8">
        <w:trPr>
          <w:trHeight w:val="315"/>
        </w:trPr>
        <w:tc>
          <w:tcPr>
            <w:tcW w:w="2694" w:type="dxa"/>
            <w:vMerge/>
            <w:shd w:val="clear" w:color="000000" w:fill="auto"/>
            <w:vAlign w:val="center"/>
            <w:hideMark/>
          </w:tcPr>
          <w:p w:rsidR="003A1285" w:rsidRPr="00B818C6" w:rsidRDefault="003A1285" w:rsidP="00770BC8">
            <w:pPr>
              <w:rPr>
                <w:b/>
                <w:bCs/>
                <w:color w:val="000000"/>
                <w:sz w:val="18"/>
                <w:szCs w:val="18"/>
              </w:rPr>
            </w:pPr>
          </w:p>
        </w:tc>
        <w:tc>
          <w:tcPr>
            <w:tcW w:w="992" w:type="dxa"/>
            <w:vMerge/>
            <w:shd w:val="clear" w:color="000000" w:fill="auto"/>
            <w:vAlign w:val="center"/>
            <w:hideMark/>
          </w:tcPr>
          <w:p w:rsidR="003A1285" w:rsidRPr="00B818C6" w:rsidRDefault="003A1285" w:rsidP="00770BC8">
            <w:pPr>
              <w:rPr>
                <w:b/>
                <w:bCs/>
                <w:color w:val="000000"/>
                <w:sz w:val="18"/>
                <w:szCs w:val="18"/>
              </w:rPr>
            </w:pPr>
          </w:p>
        </w:tc>
        <w:tc>
          <w:tcPr>
            <w:tcW w:w="993" w:type="dxa"/>
            <w:vMerge/>
            <w:shd w:val="clear" w:color="000000" w:fill="auto"/>
            <w:vAlign w:val="center"/>
            <w:hideMark/>
          </w:tcPr>
          <w:p w:rsidR="003A1285" w:rsidRPr="00B818C6" w:rsidRDefault="003A1285" w:rsidP="00770BC8">
            <w:pPr>
              <w:rPr>
                <w:b/>
                <w:bCs/>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992" w:type="dxa"/>
            <w:vMerge/>
            <w:shd w:val="clear" w:color="000000" w:fill="auto"/>
            <w:vAlign w:val="center"/>
            <w:hideMark/>
          </w:tcPr>
          <w:p w:rsidR="003A1285" w:rsidRPr="00B818C6" w:rsidRDefault="003A1285" w:rsidP="00770BC8">
            <w:pPr>
              <w:rPr>
                <w:color w:val="000000"/>
                <w:sz w:val="18"/>
                <w:szCs w:val="18"/>
              </w:rPr>
            </w:pPr>
          </w:p>
        </w:tc>
        <w:tc>
          <w:tcPr>
            <w:tcW w:w="1418" w:type="dxa"/>
            <w:vMerge/>
            <w:shd w:val="clear" w:color="000000" w:fill="auto"/>
            <w:vAlign w:val="center"/>
            <w:hideMark/>
          </w:tcPr>
          <w:p w:rsidR="003A1285" w:rsidRPr="00B818C6" w:rsidRDefault="003A1285" w:rsidP="00770BC8">
            <w:pPr>
              <w:rPr>
                <w:color w:val="000000"/>
                <w:sz w:val="18"/>
                <w:szCs w:val="18"/>
              </w:rPr>
            </w:pPr>
          </w:p>
        </w:tc>
        <w:tc>
          <w:tcPr>
            <w:tcW w:w="1275" w:type="dxa"/>
            <w:vMerge/>
            <w:shd w:val="clear" w:color="000000" w:fill="auto"/>
            <w:vAlign w:val="center"/>
            <w:hideMark/>
          </w:tcPr>
          <w:p w:rsidR="003A1285" w:rsidRPr="00B818C6" w:rsidRDefault="003A1285" w:rsidP="00770BC8">
            <w:pPr>
              <w:rPr>
                <w:color w:val="000000"/>
                <w:sz w:val="18"/>
                <w:szCs w:val="18"/>
              </w:rPr>
            </w:pPr>
          </w:p>
        </w:tc>
      </w:tr>
      <w:tr w:rsidR="00657F77" w:rsidRPr="007D502E" w:rsidTr="00770BC8">
        <w:trPr>
          <w:trHeight w:val="315"/>
        </w:trPr>
        <w:tc>
          <w:tcPr>
            <w:tcW w:w="2694" w:type="dxa"/>
            <w:shd w:val="clear" w:color="auto" w:fill="auto"/>
            <w:vAlign w:val="center"/>
            <w:hideMark/>
          </w:tcPr>
          <w:p w:rsidR="00657F77" w:rsidRPr="00247A34" w:rsidRDefault="00657F77" w:rsidP="00770BC8">
            <w:pPr>
              <w:rPr>
                <w:color w:val="000000"/>
                <w:sz w:val="18"/>
                <w:szCs w:val="18"/>
                <w:lang w:val="en-US"/>
              </w:rPr>
            </w:pPr>
            <w:r>
              <w:rPr>
                <w:color w:val="000000"/>
                <w:sz w:val="18"/>
                <w:szCs w:val="18"/>
                <w:lang w:val="en-US"/>
              </w:rPr>
              <w:t>Income from sale and interest income</w:t>
            </w:r>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1 447</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115</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446</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98</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72</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171</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247</w:t>
            </w:r>
          </w:p>
        </w:tc>
      </w:tr>
      <w:tr w:rsidR="00657F77" w:rsidRPr="007D502E" w:rsidTr="00770BC8">
        <w:trPr>
          <w:trHeight w:val="315"/>
        </w:trPr>
        <w:tc>
          <w:tcPr>
            <w:tcW w:w="2694" w:type="dxa"/>
            <w:shd w:val="clear" w:color="auto" w:fill="auto"/>
            <w:vAlign w:val="center"/>
            <w:hideMark/>
          </w:tcPr>
          <w:p w:rsidR="00657F77" w:rsidRPr="00247A34" w:rsidRDefault="00657F77" w:rsidP="00770BC8">
            <w:pPr>
              <w:rPr>
                <w:color w:val="000000"/>
                <w:sz w:val="18"/>
                <w:szCs w:val="18"/>
                <w:lang w:val="en-US"/>
              </w:rPr>
            </w:pPr>
            <w:r w:rsidRPr="00247A34">
              <w:rPr>
                <w:bCs/>
                <w:color w:val="000000"/>
                <w:sz w:val="18"/>
                <w:szCs w:val="18"/>
                <w:lang w:val="en-US"/>
              </w:rPr>
              <w:t>Cost of sales and  interest expenses</w:t>
            </w:r>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1 026</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92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312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67</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58</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144</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91</w:t>
            </w:r>
          </w:p>
        </w:tc>
      </w:tr>
      <w:tr w:rsidR="00657F77" w:rsidRPr="007D502E" w:rsidTr="00770BC8">
        <w:trPr>
          <w:trHeight w:val="315"/>
        </w:trPr>
        <w:tc>
          <w:tcPr>
            <w:tcW w:w="2694" w:type="dxa"/>
            <w:shd w:val="clear" w:color="auto" w:fill="auto"/>
            <w:vAlign w:val="center"/>
            <w:hideMark/>
          </w:tcPr>
          <w:p w:rsidR="00657F77" w:rsidRPr="00247A34" w:rsidRDefault="00657F77" w:rsidP="00770BC8">
            <w:pPr>
              <w:rPr>
                <w:b/>
                <w:bCs/>
                <w:color w:val="000000"/>
                <w:sz w:val="18"/>
                <w:szCs w:val="18"/>
                <w:lang w:val="en-US"/>
              </w:rPr>
            </w:pPr>
            <w:r>
              <w:rPr>
                <w:b/>
                <w:bCs/>
                <w:color w:val="000000"/>
                <w:sz w:val="18"/>
                <w:szCs w:val="18"/>
                <w:lang w:val="en-US"/>
              </w:rPr>
              <w:t>Gross  income</w:t>
            </w:r>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421</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23</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135</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31</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15</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26</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155</w:t>
            </w:r>
          </w:p>
        </w:tc>
      </w:tr>
      <w:tr w:rsidR="00657F77" w:rsidRPr="007D502E" w:rsidTr="00770BC8">
        <w:trPr>
          <w:trHeight w:val="315"/>
        </w:trPr>
        <w:tc>
          <w:tcPr>
            <w:tcW w:w="2694" w:type="dxa"/>
            <w:shd w:val="clear" w:color="auto" w:fill="auto"/>
            <w:hideMark/>
          </w:tcPr>
          <w:p w:rsidR="00657F77" w:rsidRPr="008252D9" w:rsidRDefault="00657F77" w:rsidP="00770BC8">
            <w:pPr>
              <w:rPr>
                <w:sz w:val="18"/>
                <w:szCs w:val="18"/>
              </w:rPr>
            </w:pPr>
            <w:proofErr w:type="spellStart"/>
            <w:r w:rsidRPr="008252D9">
              <w:rPr>
                <w:sz w:val="18"/>
                <w:szCs w:val="18"/>
              </w:rPr>
              <w:t>General</w:t>
            </w:r>
            <w:proofErr w:type="spellEnd"/>
            <w:r w:rsidRPr="008252D9">
              <w:rPr>
                <w:sz w:val="18"/>
                <w:szCs w:val="18"/>
              </w:rPr>
              <w:t xml:space="preserve"> </w:t>
            </w:r>
            <w:proofErr w:type="spellStart"/>
            <w:r w:rsidRPr="008252D9">
              <w:rPr>
                <w:sz w:val="18"/>
                <w:szCs w:val="18"/>
              </w:rPr>
              <w:t>administrative</w:t>
            </w:r>
            <w:proofErr w:type="spellEnd"/>
            <w:r w:rsidRPr="008252D9">
              <w:rPr>
                <w:sz w:val="18"/>
                <w:szCs w:val="18"/>
              </w:rPr>
              <w:t xml:space="preserve"> </w:t>
            </w:r>
            <w:proofErr w:type="spellStart"/>
            <w:r w:rsidRPr="008252D9">
              <w:rPr>
                <w:sz w:val="18"/>
                <w:szCs w:val="18"/>
              </w:rPr>
              <w:t>expenses</w:t>
            </w:r>
            <w:proofErr w:type="spellEnd"/>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60</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12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39</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12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7</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41</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8</w:t>
            </w:r>
          </w:p>
        </w:tc>
      </w:tr>
      <w:tr w:rsidR="00657F77" w:rsidRPr="007D502E" w:rsidTr="00770BC8">
        <w:trPr>
          <w:trHeight w:val="315"/>
        </w:trPr>
        <w:tc>
          <w:tcPr>
            <w:tcW w:w="2694" w:type="dxa"/>
            <w:shd w:val="clear" w:color="auto" w:fill="auto"/>
            <w:hideMark/>
          </w:tcPr>
          <w:p w:rsidR="00657F77" w:rsidRPr="008252D9" w:rsidRDefault="00657F77" w:rsidP="00770BC8">
            <w:pPr>
              <w:rPr>
                <w:sz w:val="18"/>
                <w:szCs w:val="18"/>
              </w:rPr>
            </w:pPr>
            <w:proofErr w:type="spellStart"/>
            <w:r w:rsidRPr="008252D9">
              <w:rPr>
                <w:sz w:val="18"/>
                <w:szCs w:val="18"/>
              </w:rPr>
              <w:t>Shipping</w:t>
            </w:r>
            <w:proofErr w:type="spellEnd"/>
            <w:r w:rsidRPr="008252D9">
              <w:rPr>
                <w:sz w:val="18"/>
                <w:szCs w:val="18"/>
              </w:rPr>
              <w:t xml:space="preserve"> </w:t>
            </w:r>
            <w:proofErr w:type="spellStart"/>
            <w:r w:rsidRPr="008252D9">
              <w:rPr>
                <w:sz w:val="18"/>
                <w:szCs w:val="18"/>
              </w:rPr>
              <w:t>costs</w:t>
            </w:r>
            <w:proofErr w:type="spellEnd"/>
            <w:r w:rsidRPr="008252D9">
              <w:rPr>
                <w:sz w:val="18"/>
                <w:szCs w:val="18"/>
              </w:rPr>
              <w:t xml:space="preserve"> </w:t>
            </w:r>
            <w:proofErr w:type="spellStart"/>
            <w:r w:rsidRPr="008252D9">
              <w:rPr>
                <w:sz w:val="18"/>
                <w:szCs w:val="18"/>
              </w:rPr>
              <w:t>and</w:t>
            </w:r>
            <w:proofErr w:type="spellEnd"/>
            <w:r w:rsidRPr="008252D9">
              <w:rPr>
                <w:sz w:val="18"/>
                <w:szCs w:val="18"/>
              </w:rPr>
              <w:t xml:space="preserve"> </w:t>
            </w:r>
            <w:proofErr w:type="spellStart"/>
            <w:r w:rsidRPr="008252D9">
              <w:rPr>
                <w:sz w:val="18"/>
                <w:szCs w:val="18"/>
              </w:rPr>
              <w:t>sales</w:t>
            </w:r>
            <w:proofErr w:type="spellEnd"/>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181</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3</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1</w:t>
            </w:r>
          </w:p>
        </w:tc>
      </w:tr>
      <w:tr w:rsidR="00657F77" w:rsidRPr="007D502E" w:rsidTr="00770BC8">
        <w:trPr>
          <w:trHeight w:val="315"/>
        </w:trPr>
        <w:tc>
          <w:tcPr>
            <w:tcW w:w="2694" w:type="dxa"/>
            <w:shd w:val="clear" w:color="auto" w:fill="auto"/>
          </w:tcPr>
          <w:p w:rsidR="00657F77" w:rsidRPr="008252D9" w:rsidRDefault="00657F77" w:rsidP="00770BC8">
            <w:pPr>
              <w:rPr>
                <w:sz w:val="18"/>
                <w:szCs w:val="18"/>
              </w:rPr>
            </w:pPr>
            <w:r>
              <w:rPr>
                <w:sz w:val="18"/>
                <w:szCs w:val="18"/>
                <w:lang w:val="en-US"/>
              </w:rPr>
              <w:t xml:space="preserve">Recovery of </w:t>
            </w:r>
            <w:proofErr w:type="spellStart"/>
            <w:r w:rsidRPr="008252D9">
              <w:rPr>
                <w:sz w:val="18"/>
                <w:szCs w:val="18"/>
              </w:rPr>
              <w:t>assets</w:t>
            </w:r>
            <w:proofErr w:type="spellEnd"/>
            <w:r>
              <w:rPr>
                <w:sz w:val="18"/>
                <w:szCs w:val="18"/>
                <w:lang w:val="en-US"/>
              </w:rPr>
              <w:t xml:space="preserve"> i</w:t>
            </w:r>
            <w:proofErr w:type="spellStart"/>
            <w:r w:rsidRPr="008252D9">
              <w:rPr>
                <w:sz w:val="18"/>
                <w:szCs w:val="18"/>
              </w:rPr>
              <w:t>mpairment</w:t>
            </w:r>
            <w:proofErr w:type="spellEnd"/>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101</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1</w:t>
            </w:r>
          </w:p>
        </w:tc>
      </w:tr>
      <w:tr w:rsidR="00657F77" w:rsidRPr="007D502E" w:rsidTr="00770BC8">
        <w:trPr>
          <w:trHeight w:val="315"/>
        </w:trPr>
        <w:tc>
          <w:tcPr>
            <w:tcW w:w="2694" w:type="dxa"/>
            <w:shd w:val="clear" w:color="auto" w:fill="auto"/>
            <w:hideMark/>
          </w:tcPr>
          <w:p w:rsidR="00657F77" w:rsidRPr="008252D9" w:rsidRDefault="00657F77" w:rsidP="00770BC8">
            <w:pPr>
              <w:rPr>
                <w:sz w:val="18"/>
                <w:szCs w:val="18"/>
                <w:lang w:val="en-US"/>
              </w:rPr>
            </w:pPr>
            <w:r w:rsidRPr="008252D9">
              <w:rPr>
                <w:sz w:val="18"/>
                <w:szCs w:val="18"/>
              </w:rPr>
              <w:t xml:space="preserve">  </w:t>
            </w:r>
            <w:proofErr w:type="spellStart"/>
            <w:r w:rsidRPr="008252D9">
              <w:rPr>
                <w:sz w:val="18"/>
                <w:szCs w:val="18"/>
              </w:rPr>
              <w:t>Losses</w:t>
            </w:r>
            <w:proofErr w:type="spellEnd"/>
            <w:r>
              <w:rPr>
                <w:sz w:val="18"/>
                <w:szCs w:val="18"/>
                <w:lang w:val="en-US"/>
              </w:rPr>
              <w:t xml:space="preserve"> </w:t>
            </w:r>
            <w:r w:rsidRPr="008252D9">
              <w:rPr>
                <w:sz w:val="18"/>
                <w:szCs w:val="18"/>
              </w:rPr>
              <w:t xml:space="preserve"> </w:t>
            </w:r>
            <w:proofErr w:type="spellStart"/>
            <w:r w:rsidRPr="008252D9">
              <w:rPr>
                <w:sz w:val="18"/>
                <w:szCs w:val="18"/>
              </w:rPr>
              <w:t>on</w:t>
            </w:r>
            <w:proofErr w:type="spellEnd"/>
            <w:r w:rsidRPr="008252D9">
              <w:rPr>
                <w:sz w:val="18"/>
                <w:szCs w:val="18"/>
              </w:rPr>
              <w:t xml:space="preserve"> </w:t>
            </w:r>
            <w:proofErr w:type="spellStart"/>
            <w:r w:rsidRPr="008252D9">
              <w:rPr>
                <w:sz w:val="18"/>
                <w:szCs w:val="18"/>
              </w:rPr>
              <w:t>assets</w:t>
            </w:r>
            <w:proofErr w:type="spellEnd"/>
            <w:r>
              <w:rPr>
                <w:sz w:val="18"/>
                <w:szCs w:val="18"/>
                <w:lang w:val="en-US"/>
              </w:rPr>
              <w:t xml:space="preserve"> i</w:t>
            </w:r>
            <w:proofErr w:type="spellStart"/>
            <w:r w:rsidRPr="008252D9">
              <w:rPr>
                <w:sz w:val="18"/>
                <w:szCs w:val="18"/>
              </w:rPr>
              <w:t>mpairment</w:t>
            </w:r>
            <w:proofErr w:type="spellEnd"/>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5</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1</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94</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13</w:t>
            </w:r>
          </w:p>
        </w:tc>
      </w:tr>
      <w:tr w:rsidR="00657F77" w:rsidRPr="002975AE" w:rsidTr="00770BC8">
        <w:trPr>
          <w:trHeight w:val="315"/>
        </w:trPr>
        <w:tc>
          <w:tcPr>
            <w:tcW w:w="2694" w:type="dxa"/>
            <w:shd w:val="clear" w:color="auto" w:fill="auto"/>
          </w:tcPr>
          <w:p w:rsidR="00657F77" w:rsidRPr="002975AE" w:rsidRDefault="00657F77" w:rsidP="00770BC8">
            <w:pPr>
              <w:rPr>
                <w:sz w:val="18"/>
                <w:szCs w:val="18"/>
                <w:lang w:val="en-US"/>
              </w:rPr>
            </w:pPr>
            <w:r>
              <w:rPr>
                <w:sz w:val="18"/>
                <w:szCs w:val="18"/>
                <w:lang w:val="en-US"/>
              </w:rPr>
              <w:lastRenderedPageBreak/>
              <w:t>Other operating income from banking activities</w:t>
            </w:r>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29</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r>
      <w:tr w:rsidR="00657F77" w:rsidRPr="002975AE" w:rsidTr="00770BC8">
        <w:trPr>
          <w:trHeight w:val="315"/>
        </w:trPr>
        <w:tc>
          <w:tcPr>
            <w:tcW w:w="2694" w:type="dxa"/>
            <w:shd w:val="clear" w:color="auto" w:fill="auto"/>
          </w:tcPr>
          <w:p w:rsidR="00657F77" w:rsidRDefault="00657F77" w:rsidP="002975AE">
            <w:pPr>
              <w:rPr>
                <w:sz w:val="18"/>
                <w:szCs w:val="18"/>
                <w:lang w:val="en-US"/>
              </w:rPr>
            </w:pPr>
            <w:r>
              <w:rPr>
                <w:sz w:val="18"/>
                <w:szCs w:val="18"/>
                <w:lang w:val="en-US"/>
              </w:rPr>
              <w:t>Other operating costs from banking activities</w:t>
            </w:r>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642</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0</w:t>
            </w:r>
          </w:p>
        </w:tc>
      </w:tr>
      <w:tr w:rsidR="00657F77" w:rsidRPr="007D502E" w:rsidTr="00770BC8">
        <w:trPr>
          <w:trHeight w:val="315"/>
        </w:trPr>
        <w:tc>
          <w:tcPr>
            <w:tcW w:w="2694" w:type="dxa"/>
            <w:shd w:val="clear" w:color="auto" w:fill="auto"/>
            <w:hideMark/>
          </w:tcPr>
          <w:p w:rsidR="00657F77" w:rsidRPr="008252D9" w:rsidRDefault="00657F77" w:rsidP="00770BC8">
            <w:pPr>
              <w:rPr>
                <w:b/>
                <w:sz w:val="18"/>
                <w:szCs w:val="18"/>
              </w:rPr>
            </w:pPr>
            <w:proofErr w:type="spellStart"/>
            <w:r w:rsidRPr="008252D9">
              <w:rPr>
                <w:b/>
                <w:sz w:val="18"/>
                <w:szCs w:val="18"/>
              </w:rPr>
              <w:t>Income</w:t>
            </w:r>
            <w:proofErr w:type="spellEnd"/>
            <w:r w:rsidRPr="008252D9">
              <w:rPr>
                <w:b/>
                <w:sz w:val="18"/>
                <w:szCs w:val="18"/>
              </w:rPr>
              <w:t xml:space="preserve"> (</w:t>
            </w:r>
            <w:proofErr w:type="spellStart"/>
            <w:r w:rsidRPr="008252D9">
              <w:rPr>
                <w:b/>
                <w:sz w:val="18"/>
                <w:szCs w:val="18"/>
              </w:rPr>
              <w:t>loss</w:t>
            </w:r>
            <w:proofErr w:type="spellEnd"/>
            <w:r w:rsidRPr="008252D9">
              <w:rPr>
                <w:b/>
                <w:sz w:val="18"/>
                <w:szCs w:val="18"/>
              </w:rPr>
              <w:t xml:space="preserve">) </w:t>
            </w:r>
            <w:proofErr w:type="spellStart"/>
            <w:r w:rsidRPr="008252D9">
              <w:rPr>
                <w:b/>
                <w:sz w:val="18"/>
                <w:szCs w:val="18"/>
              </w:rPr>
              <w:t>from</w:t>
            </w:r>
            <w:proofErr w:type="spellEnd"/>
            <w:r w:rsidRPr="008252D9">
              <w:rPr>
                <w:b/>
                <w:sz w:val="18"/>
                <w:szCs w:val="18"/>
              </w:rPr>
              <w:t xml:space="preserve"> </w:t>
            </w:r>
            <w:proofErr w:type="spellStart"/>
            <w:r w:rsidRPr="008252D9">
              <w:rPr>
                <w:b/>
                <w:sz w:val="18"/>
                <w:szCs w:val="18"/>
              </w:rPr>
              <w:t>operations</w:t>
            </w:r>
            <w:proofErr w:type="spellEnd"/>
          </w:p>
        </w:tc>
        <w:tc>
          <w:tcPr>
            <w:tcW w:w="992" w:type="dxa"/>
            <w:shd w:val="clear" w:color="auto" w:fill="auto"/>
            <w:vAlign w:val="center"/>
          </w:tcPr>
          <w:p w:rsidR="00657F77" w:rsidRDefault="00657F77" w:rsidP="00617070">
            <w:pPr>
              <w:jc w:val="center"/>
              <w:rPr>
                <w:color w:val="000000"/>
                <w:sz w:val="16"/>
                <w:szCs w:val="16"/>
              </w:rPr>
            </w:pPr>
            <w:r>
              <w:rPr>
                <w:color w:val="000000"/>
                <w:sz w:val="16"/>
                <w:szCs w:val="16"/>
              </w:rPr>
              <w:t>175</w:t>
            </w:r>
          </w:p>
        </w:tc>
        <w:tc>
          <w:tcPr>
            <w:tcW w:w="993" w:type="dxa"/>
            <w:shd w:val="clear" w:color="auto" w:fill="auto"/>
            <w:vAlign w:val="center"/>
          </w:tcPr>
          <w:p w:rsidR="00657F77" w:rsidRDefault="00657F77" w:rsidP="00617070">
            <w:pPr>
              <w:jc w:val="center"/>
              <w:rPr>
                <w:color w:val="000000"/>
                <w:sz w:val="16"/>
                <w:szCs w:val="16"/>
              </w:rPr>
            </w:pPr>
            <w:r>
              <w:rPr>
                <w:color w:val="000000"/>
                <w:sz w:val="16"/>
                <w:szCs w:val="16"/>
              </w:rPr>
              <w:t>9</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92</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18</w:t>
            </w:r>
          </w:p>
        </w:tc>
        <w:tc>
          <w:tcPr>
            <w:tcW w:w="992" w:type="dxa"/>
            <w:shd w:val="clear" w:color="auto" w:fill="auto"/>
            <w:noWrap/>
            <w:vAlign w:val="center"/>
          </w:tcPr>
          <w:p w:rsidR="00657F77" w:rsidRDefault="00657F77" w:rsidP="00617070">
            <w:pPr>
              <w:jc w:val="center"/>
              <w:rPr>
                <w:color w:val="000000"/>
                <w:sz w:val="16"/>
                <w:szCs w:val="16"/>
              </w:rPr>
            </w:pPr>
            <w:r>
              <w:rPr>
                <w:color w:val="000000"/>
                <w:sz w:val="16"/>
                <w:szCs w:val="16"/>
              </w:rPr>
              <w:t>8</w:t>
            </w:r>
          </w:p>
        </w:tc>
        <w:tc>
          <w:tcPr>
            <w:tcW w:w="1418" w:type="dxa"/>
            <w:shd w:val="clear" w:color="auto" w:fill="auto"/>
            <w:noWrap/>
            <w:vAlign w:val="center"/>
          </w:tcPr>
          <w:p w:rsidR="00657F77" w:rsidRDefault="00657F77" w:rsidP="00617070">
            <w:pPr>
              <w:jc w:val="center"/>
              <w:rPr>
                <w:color w:val="000000"/>
                <w:sz w:val="16"/>
                <w:szCs w:val="16"/>
              </w:rPr>
            </w:pPr>
            <w:r>
              <w:rPr>
                <w:color w:val="000000"/>
                <w:sz w:val="16"/>
                <w:szCs w:val="16"/>
              </w:rPr>
              <w:t>-621</w:t>
            </w:r>
          </w:p>
        </w:tc>
        <w:tc>
          <w:tcPr>
            <w:tcW w:w="1275" w:type="dxa"/>
            <w:shd w:val="clear" w:color="auto" w:fill="auto"/>
            <w:noWrap/>
            <w:vAlign w:val="center"/>
          </w:tcPr>
          <w:p w:rsidR="00657F77" w:rsidRDefault="00657F77" w:rsidP="00617070">
            <w:pPr>
              <w:jc w:val="center"/>
              <w:rPr>
                <w:color w:val="000000"/>
                <w:sz w:val="16"/>
                <w:szCs w:val="16"/>
              </w:rPr>
            </w:pPr>
            <w:r>
              <w:rPr>
                <w:color w:val="000000"/>
                <w:sz w:val="16"/>
                <w:szCs w:val="16"/>
              </w:rPr>
              <w:t>135</w:t>
            </w:r>
          </w:p>
        </w:tc>
      </w:tr>
    </w:tbl>
    <w:p w:rsidR="00C457DC" w:rsidRDefault="00C457DC" w:rsidP="002664E4">
      <w:pPr>
        <w:tabs>
          <w:tab w:val="left" w:pos="426"/>
        </w:tabs>
        <w:jc w:val="both"/>
        <w:rPr>
          <w:sz w:val="22"/>
          <w:szCs w:val="22"/>
        </w:rPr>
      </w:pPr>
    </w:p>
    <w:p w:rsidR="008E13FF" w:rsidRPr="008E13FF" w:rsidRDefault="008E13FF" w:rsidP="008E13FF">
      <w:pPr>
        <w:tabs>
          <w:tab w:val="left" w:pos="284"/>
        </w:tabs>
        <w:ind w:left="-709" w:firstLine="709"/>
        <w:jc w:val="both"/>
        <w:rPr>
          <w:sz w:val="22"/>
          <w:szCs w:val="22"/>
          <w:lang w:val="en-US"/>
        </w:rPr>
      </w:pPr>
      <w:r w:rsidRPr="003A1285">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3A1285">
        <w:rPr>
          <w:rStyle w:val="apple-style-span"/>
          <w:sz w:val="22"/>
          <w:szCs w:val="22"/>
          <w:shd w:val="clear" w:color="auto" w:fill="FFFFFF"/>
          <w:lang w:val="en-US"/>
        </w:rPr>
        <w:t>following chart</w:t>
      </w:r>
      <w:r>
        <w:rPr>
          <w:rStyle w:val="apple-style-span"/>
          <w:sz w:val="22"/>
          <w:szCs w:val="22"/>
          <w:shd w:val="clear" w:color="auto" w:fill="FFFFFF"/>
          <w:lang w:val="en-US"/>
        </w:rPr>
        <w:t>s</w:t>
      </w:r>
      <w:r w:rsidRPr="003A1285">
        <w:rPr>
          <w:rStyle w:val="apple-style-span"/>
          <w:sz w:val="22"/>
          <w:szCs w:val="22"/>
          <w:shd w:val="clear" w:color="auto" w:fill="FFFFFF"/>
          <w:lang w:val="en-US"/>
        </w:rPr>
        <w:t xml:space="preserve"> present the </w:t>
      </w:r>
      <w:r>
        <w:rPr>
          <w:rStyle w:val="apple-style-span"/>
          <w:sz w:val="22"/>
          <w:szCs w:val="22"/>
          <w:shd w:val="clear" w:color="auto" w:fill="FFFFFF"/>
          <w:lang w:val="en-US"/>
        </w:rPr>
        <w:t xml:space="preserve">indicators of </w:t>
      </w:r>
      <w:r w:rsidRPr="003A1285">
        <w:rPr>
          <w:rStyle w:val="apple-style-span"/>
          <w:sz w:val="22"/>
          <w:szCs w:val="22"/>
          <w:shd w:val="clear" w:color="auto" w:fill="FFFFFF"/>
          <w:lang w:val="en-US"/>
        </w:rPr>
        <w:t>affiliated organizations considering consolidation adjustments at the level of the Fund.</w:t>
      </w:r>
    </w:p>
    <w:p w:rsidR="008E13FF" w:rsidRPr="00334790" w:rsidRDefault="008E13FF" w:rsidP="002664E4">
      <w:pPr>
        <w:tabs>
          <w:tab w:val="left" w:pos="426"/>
        </w:tabs>
        <w:jc w:val="both"/>
        <w:rPr>
          <w:sz w:val="22"/>
          <w:szCs w:val="22"/>
          <w:lang w:val="en-US"/>
        </w:rPr>
      </w:pPr>
    </w:p>
    <w:p w:rsidR="00F11A4A" w:rsidRDefault="00F11A4A" w:rsidP="002664E4">
      <w:pPr>
        <w:tabs>
          <w:tab w:val="left" w:pos="426"/>
        </w:tabs>
        <w:jc w:val="both"/>
        <w:rPr>
          <w:sz w:val="22"/>
          <w:szCs w:val="22"/>
        </w:rPr>
      </w:pPr>
      <w:r>
        <w:rPr>
          <w:noProof/>
        </w:rPr>
        <w:drawing>
          <wp:inline distT="0" distB="0" distL="0" distR="0" wp14:anchorId="3FB5A015" wp14:editId="35CB11FB">
            <wp:extent cx="5940425" cy="3881223"/>
            <wp:effectExtent l="0" t="0" r="317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3881223"/>
                    </a:xfrm>
                    <a:prstGeom prst="rect">
                      <a:avLst/>
                    </a:prstGeom>
                    <a:noFill/>
                  </pic:spPr>
                </pic:pic>
              </a:graphicData>
            </a:graphic>
          </wp:inline>
        </w:drawing>
      </w:r>
    </w:p>
    <w:p w:rsidR="00F11A4A" w:rsidRDefault="00F11A4A" w:rsidP="002664E4">
      <w:pPr>
        <w:tabs>
          <w:tab w:val="left" w:pos="426"/>
        </w:tabs>
        <w:jc w:val="both"/>
        <w:rPr>
          <w:sz w:val="22"/>
          <w:szCs w:val="22"/>
        </w:rPr>
      </w:pPr>
    </w:p>
    <w:p w:rsidR="009051F9" w:rsidRDefault="009051F9" w:rsidP="002664E4">
      <w:r>
        <w:rPr>
          <w:noProof/>
        </w:rPr>
        <w:lastRenderedPageBreak/>
        <w:drawing>
          <wp:inline distT="0" distB="0" distL="0" distR="0" wp14:anchorId="5F19E0A6" wp14:editId="7ECC39D6">
            <wp:extent cx="5940425" cy="3880999"/>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3880999"/>
                    </a:xfrm>
                    <a:prstGeom prst="rect">
                      <a:avLst/>
                    </a:prstGeom>
                    <a:noFill/>
                  </pic:spPr>
                </pic:pic>
              </a:graphicData>
            </a:graphic>
          </wp:inline>
        </w:drawing>
      </w:r>
    </w:p>
    <w:p w:rsidR="002664E4" w:rsidRDefault="002664E4" w:rsidP="002664E4">
      <w:pPr>
        <w:rPr>
          <w:noProof/>
        </w:rPr>
      </w:pPr>
    </w:p>
    <w:p w:rsidR="009051F9" w:rsidRDefault="009051F9" w:rsidP="002664E4">
      <w:pPr>
        <w:rPr>
          <w:noProof/>
        </w:rPr>
      </w:pPr>
      <w:r>
        <w:rPr>
          <w:noProof/>
        </w:rPr>
        <w:drawing>
          <wp:inline distT="0" distB="0" distL="0" distR="0" wp14:anchorId="55A2C44E" wp14:editId="6051CDC2">
            <wp:extent cx="5940425" cy="3880965"/>
            <wp:effectExtent l="0" t="0" r="3175"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3880965"/>
                    </a:xfrm>
                    <a:prstGeom prst="rect">
                      <a:avLst/>
                    </a:prstGeom>
                    <a:noFill/>
                  </pic:spPr>
                </pic:pic>
              </a:graphicData>
            </a:graphic>
          </wp:inline>
        </w:drawing>
      </w:r>
    </w:p>
    <w:p w:rsidR="009051F9" w:rsidRDefault="009051F9" w:rsidP="002664E4">
      <w:pPr>
        <w:rPr>
          <w:lang w:val="en-US"/>
        </w:rPr>
      </w:pPr>
    </w:p>
    <w:p w:rsidR="002664E4" w:rsidRDefault="009051F9" w:rsidP="002664E4">
      <w:pPr>
        <w:rPr>
          <w:lang w:val="en-US"/>
        </w:rPr>
      </w:pPr>
      <w:r>
        <w:rPr>
          <w:noProof/>
        </w:rPr>
        <w:lastRenderedPageBreak/>
        <w:drawing>
          <wp:inline distT="0" distB="0" distL="0" distR="0" wp14:anchorId="651F5392" wp14:editId="7DD5E8D8">
            <wp:extent cx="5940425" cy="3881110"/>
            <wp:effectExtent l="0" t="0" r="3175"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3881110"/>
                    </a:xfrm>
                    <a:prstGeom prst="rect">
                      <a:avLst/>
                    </a:prstGeom>
                    <a:noFill/>
                  </pic:spPr>
                </pic:pic>
              </a:graphicData>
            </a:graphic>
          </wp:inline>
        </w:drawing>
      </w:r>
    </w:p>
    <w:p w:rsidR="002664E4" w:rsidRDefault="002664E4" w:rsidP="002664E4">
      <w:pPr>
        <w:rPr>
          <w:lang w:val="en-US"/>
        </w:rPr>
      </w:pPr>
    </w:p>
    <w:p w:rsidR="008E13FF" w:rsidRPr="003A1285" w:rsidRDefault="008E13FF" w:rsidP="008E13FF">
      <w:pPr>
        <w:tabs>
          <w:tab w:val="left" w:pos="284"/>
        </w:tabs>
        <w:ind w:left="-567" w:firstLine="567"/>
        <w:jc w:val="both"/>
        <w:rPr>
          <w:sz w:val="22"/>
          <w:szCs w:val="22"/>
          <w:lang w:val="en-US"/>
        </w:rPr>
      </w:pPr>
      <w:r>
        <w:rPr>
          <w:sz w:val="22"/>
          <w:szCs w:val="22"/>
          <w:lang w:val="en-US"/>
        </w:rPr>
        <w:t>Then</w:t>
      </w:r>
      <w:r w:rsidRPr="00C457DC">
        <w:rPr>
          <w:sz w:val="22"/>
          <w:szCs w:val="22"/>
          <w:lang w:val="en-US"/>
        </w:rPr>
        <w:t xml:space="preserve">, the presented segment analysis is based on production figures from the reports on implementation of development plans </w:t>
      </w:r>
      <w:r>
        <w:rPr>
          <w:sz w:val="22"/>
          <w:szCs w:val="22"/>
          <w:lang w:val="en-US"/>
        </w:rPr>
        <w:t>of</w:t>
      </w:r>
      <w:r w:rsidRPr="00C457DC">
        <w:rPr>
          <w:sz w:val="22"/>
          <w:szCs w:val="22"/>
          <w:lang w:val="en-US"/>
        </w:rPr>
        <w:t xml:space="preserve"> the subsidiaries </w:t>
      </w:r>
      <w:r w:rsidR="00617070">
        <w:rPr>
          <w:sz w:val="22"/>
          <w:szCs w:val="22"/>
          <w:lang w:val="en-US"/>
        </w:rPr>
        <w:t>for H1 2012</w:t>
      </w:r>
      <w:r w:rsidRPr="00C457DC">
        <w:rPr>
          <w:sz w:val="22"/>
          <w:szCs w:val="22"/>
          <w:lang w:val="en-US"/>
        </w:rPr>
        <w:t xml:space="preserve"> and data </w:t>
      </w:r>
      <w:r>
        <w:rPr>
          <w:sz w:val="22"/>
          <w:szCs w:val="22"/>
          <w:lang w:val="en-US"/>
        </w:rPr>
        <w:t xml:space="preserve">of the </w:t>
      </w:r>
      <w:r w:rsidRPr="00C457DC">
        <w:rPr>
          <w:sz w:val="22"/>
          <w:szCs w:val="22"/>
          <w:lang w:val="en-US"/>
        </w:rPr>
        <w:t xml:space="preserve">audited financial statements of subsidiaries </w:t>
      </w:r>
      <w:r>
        <w:rPr>
          <w:sz w:val="22"/>
          <w:szCs w:val="22"/>
          <w:lang w:val="en-US"/>
        </w:rPr>
        <w:t>for</w:t>
      </w:r>
      <w:r w:rsidRPr="00C457DC">
        <w:rPr>
          <w:sz w:val="22"/>
          <w:szCs w:val="22"/>
          <w:lang w:val="en-US"/>
        </w:rPr>
        <w:t xml:space="preserve"> </w:t>
      </w:r>
      <w:r w:rsidR="00617070">
        <w:rPr>
          <w:sz w:val="22"/>
          <w:szCs w:val="22"/>
          <w:lang w:val="en-US"/>
        </w:rPr>
        <w:t>H1</w:t>
      </w:r>
      <w:r>
        <w:rPr>
          <w:sz w:val="22"/>
          <w:szCs w:val="22"/>
          <w:lang w:val="en-US"/>
        </w:rPr>
        <w:t xml:space="preserve"> </w:t>
      </w:r>
      <w:r w:rsidRPr="00C457DC">
        <w:rPr>
          <w:sz w:val="22"/>
          <w:szCs w:val="22"/>
          <w:lang w:val="en-US"/>
        </w:rPr>
        <w:t>2011</w:t>
      </w:r>
      <w:r w:rsidR="00617070">
        <w:rPr>
          <w:sz w:val="22"/>
          <w:szCs w:val="22"/>
          <w:lang w:val="en-US"/>
        </w:rPr>
        <w:t>-2012</w:t>
      </w:r>
      <w:r w:rsidRPr="00C457DC">
        <w:rPr>
          <w:sz w:val="22"/>
          <w:szCs w:val="22"/>
          <w:lang w:val="en-US"/>
        </w:rPr>
        <w:t>.</w:t>
      </w:r>
    </w:p>
    <w:p w:rsidR="002664E4" w:rsidRPr="008D1949" w:rsidRDefault="002664E4" w:rsidP="002664E4">
      <w:pPr>
        <w:rPr>
          <w:rFonts w:ascii="Arial" w:hAnsi="Arial" w:cs="Arial"/>
          <w:sz w:val="18"/>
          <w:lang w:val="en-US"/>
        </w:rPr>
      </w:pPr>
    </w:p>
    <w:p w:rsidR="000E2F90" w:rsidRPr="008D1949" w:rsidRDefault="000E2F90" w:rsidP="002664E4">
      <w:pPr>
        <w:rPr>
          <w:rFonts w:ascii="Arial" w:hAnsi="Arial" w:cs="Arial"/>
          <w:sz w:val="18"/>
          <w:lang w:val="en-US"/>
        </w:rPr>
      </w:pPr>
    </w:p>
    <w:p w:rsidR="008E13FF" w:rsidRPr="008E13FF" w:rsidRDefault="008E13FF" w:rsidP="002664E4">
      <w:pPr>
        <w:rPr>
          <w:rFonts w:ascii="Arial" w:hAnsi="Arial" w:cs="Arial"/>
          <w:sz w:val="18"/>
          <w:lang w:val="en-US"/>
        </w:rPr>
      </w:pPr>
    </w:p>
    <w:p w:rsidR="002664E4" w:rsidRPr="00471013" w:rsidRDefault="002664E4" w:rsidP="002664E4">
      <w:pPr>
        <w:tabs>
          <w:tab w:val="left" w:pos="426"/>
        </w:tabs>
        <w:autoSpaceDE w:val="0"/>
        <w:autoSpaceDN w:val="0"/>
        <w:adjustRightInd w:val="0"/>
        <w:jc w:val="both"/>
        <w:rPr>
          <w:rStyle w:val="apple-style-span"/>
          <w:b/>
          <w:sz w:val="22"/>
          <w:szCs w:val="22"/>
          <w:shd w:val="clear" w:color="auto" w:fill="FFFFFF"/>
          <w:lang w:val="en-US"/>
        </w:rPr>
      </w:pPr>
      <w:r w:rsidRPr="00183BC7">
        <w:rPr>
          <w:rStyle w:val="apple-style-span"/>
          <w:b/>
          <w:sz w:val="22"/>
          <w:szCs w:val="22"/>
          <w:shd w:val="clear" w:color="auto" w:fill="FFFFFF"/>
          <w:lang w:val="en-US"/>
        </w:rPr>
        <w:t>3.</w:t>
      </w:r>
      <w:r w:rsidRPr="00617070">
        <w:rPr>
          <w:rStyle w:val="apple-style-span"/>
          <w:b/>
          <w:sz w:val="22"/>
          <w:szCs w:val="22"/>
          <w:shd w:val="clear" w:color="auto" w:fill="FFFFFF"/>
          <w:lang w:val="en-US"/>
        </w:rPr>
        <w:t xml:space="preserve">1 </w:t>
      </w:r>
      <w:r>
        <w:rPr>
          <w:rStyle w:val="apple-style-span"/>
          <w:b/>
          <w:sz w:val="22"/>
          <w:szCs w:val="22"/>
          <w:shd w:val="clear" w:color="auto" w:fill="FFFFFF"/>
          <w:lang w:val="en-US"/>
        </w:rPr>
        <w:t>“Oil &amp; Gas” Segment</w:t>
      </w:r>
      <w:r w:rsidRPr="00471013">
        <w:rPr>
          <w:rStyle w:val="apple-style-span"/>
          <w:b/>
          <w:sz w:val="22"/>
          <w:szCs w:val="22"/>
          <w:shd w:val="clear" w:color="auto" w:fill="FFFFFF"/>
          <w:lang w:val="en-US"/>
        </w:rPr>
        <w:t xml:space="preserve"> </w:t>
      </w:r>
    </w:p>
    <w:p w:rsidR="002664E4" w:rsidRPr="00471013" w:rsidRDefault="002664E4" w:rsidP="002664E4">
      <w:pPr>
        <w:tabs>
          <w:tab w:val="left" w:pos="426"/>
        </w:tabs>
        <w:autoSpaceDE w:val="0"/>
        <w:autoSpaceDN w:val="0"/>
        <w:adjustRightInd w:val="0"/>
        <w:jc w:val="both"/>
        <w:rPr>
          <w:rStyle w:val="apple-style-span"/>
          <w:b/>
          <w:sz w:val="22"/>
          <w:szCs w:val="22"/>
          <w:shd w:val="clear" w:color="auto" w:fill="FFFFFF"/>
          <w:lang w:val="en-US"/>
        </w:rPr>
      </w:pPr>
    </w:p>
    <w:p w:rsidR="002664E4" w:rsidRDefault="002664E4" w:rsidP="002664E4">
      <w:pPr>
        <w:pStyle w:val="a3"/>
        <w:tabs>
          <w:tab w:val="left" w:pos="426"/>
        </w:tabs>
        <w:autoSpaceDE w:val="0"/>
        <w:autoSpaceDN w:val="0"/>
        <w:adjustRightInd w:val="0"/>
        <w:ind w:left="-567" w:firstLine="567"/>
        <w:jc w:val="both"/>
        <w:rPr>
          <w:rStyle w:val="apple-style-span"/>
          <w:b/>
          <w:sz w:val="22"/>
          <w:szCs w:val="22"/>
          <w:shd w:val="clear" w:color="auto" w:fill="FFFFFF"/>
          <w:lang w:val="en-US"/>
        </w:rPr>
      </w:pPr>
      <w:r>
        <w:rPr>
          <w:rStyle w:val="apple-style-span"/>
          <w:b/>
          <w:sz w:val="22"/>
          <w:szCs w:val="22"/>
          <w:shd w:val="clear" w:color="auto" w:fill="FFFFFF"/>
          <w:lang w:val="en-US"/>
        </w:rPr>
        <w:t>Production figures</w:t>
      </w:r>
    </w:p>
    <w:p w:rsidR="00617070" w:rsidRPr="008A3E29" w:rsidRDefault="00617070" w:rsidP="002664E4">
      <w:pPr>
        <w:pStyle w:val="a3"/>
        <w:tabs>
          <w:tab w:val="left" w:pos="426"/>
        </w:tabs>
        <w:autoSpaceDE w:val="0"/>
        <w:autoSpaceDN w:val="0"/>
        <w:adjustRightInd w:val="0"/>
        <w:ind w:left="-567" w:firstLine="567"/>
        <w:jc w:val="both"/>
        <w:rPr>
          <w:rStyle w:val="apple-style-span"/>
          <w:b/>
          <w:sz w:val="22"/>
          <w:szCs w:val="22"/>
          <w:shd w:val="clear" w:color="auto" w:fill="FFFFFF"/>
          <w:lang w:val="en-US"/>
        </w:rPr>
      </w:pPr>
    </w:p>
    <w:p w:rsidR="002664E4" w:rsidRPr="00334790" w:rsidRDefault="00617070" w:rsidP="002664E4">
      <w:pPr>
        <w:pStyle w:val="a3"/>
        <w:tabs>
          <w:tab w:val="left" w:pos="426"/>
        </w:tabs>
        <w:autoSpaceDE w:val="0"/>
        <w:autoSpaceDN w:val="0"/>
        <w:adjustRightInd w:val="0"/>
        <w:ind w:left="-567" w:firstLine="567"/>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0E2F90" w:rsidRPr="00334790" w:rsidRDefault="000E2F90" w:rsidP="002664E4">
      <w:pPr>
        <w:pStyle w:val="a3"/>
        <w:tabs>
          <w:tab w:val="left" w:pos="426"/>
        </w:tabs>
        <w:autoSpaceDE w:val="0"/>
        <w:autoSpaceDN w:val="0"/>
        <w:adjustRightInd w:val="0"/>
        <w:ind w:left="-567" w:firstLine="567"/>
        <w:jc w:val="both"/>
        <w:rPr>
          <w:rStyle w:val="apple-style-span"/>
          <w:b/>
          <w:sz w:val="22"/>
          <w:szCs w:val="22"/>
          <w:shd w:val="clear" w:color="auto" w:fill="FFFFFF"/>
          <w:lang w:val="en-US"/>
        </w:rPr>
      </w:pPr>
    </w:p>
    <w:tbl>
      <w:tblPr>
        <w:tblW w:w="9924" w:type="dxa"/>
        <w:jc w:val="center"/>
        <w:tblInd w:w="-282" w:type="dxa"/>
        <w:tblLayout w:type="fixed"/>
        <w:tblLook w:val="04A0" w:firstRow="1" w:lastRow="0" w:firstColumn="1" w:lastColumn="0" w:noHBand="0" w:noVBand="1"/>
      </w:tblPr>
      <w:tblGrid>
        <w:gridCol w:w="2410"/>
        <w:gridCol w:w="967"/>
        <w:gridCol w:w="877"/>
        <w:gridCol w:w="882"/>
        <w:gridCol w:w="992"/>
        <w:gridCol w:w="3796"/>
      </w:tblGrid>
      <w:tr w:rsidR="002664E4" w:rsidRPr="00183BC7" w:rsidTr="00D218AD">
        <w:trPr>
          <w:trHeight w:val="435"/>
          <w:tblHeader/>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4E4" w:rsidRPr="00471013" w:rsidRDefault="002664E4" w:rsidP="00770BC8">
            <w:pPr>
              <w:jc w:val="center"/>
              <w:rPr>
                <w:b/>
                <w:bCs/>
                <w:color w:val="000000"/>
                <w:sz w:val="18"/>
                <w:szCs w:val="18"/>
                <w:lang w:val="en-US"/>
              </w:rPr>
            </w:pPr>
            <w:r>
              <w:rPr>
                <w:b/>
                <w:bCs/>
                <w:color w:val="000000"/>
                <w:sz w:val="18"/>
                <w:szCs w:val="18"/>
                <w:lang w:val="en-US"/>
              </w:rPr>
              <w:t xml:space="preserve">Name </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2664E4" w:rsidRPr="00471013" w:rsidRDefault="002664E4" w:rsidP="00770BC8">
            <w:pPr>
              <w:jc w:val="center"/>
              <w:rPr>
                <w:b/>
                <w:bCs/>
                <w:color w:val="000000"/>
                <w:sz w:val="18"/>
                <w:szCs w:val="18"/>
                <w:lang w:val="en-US"/>
              </w:rPr>
            </w:pPr>
            <w:r>
              <w:rPr>
                <w:b/>
                <w:bCs/>
                <w:color w:val="000000"/>
                <w:sz w:val="18"/>
                <w:szCs w:val="18"/>
                <w:lang w:val="en-US"/>
              </w:rPr>
              <w:t>Unit of measure</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664E4" w:rsidRPr="00183BC7" w:rsidRDefault="002664E4" w:rsidP="00770BC8">
            <w:pPr>
              <w:jc w:val="center"/>
              <w:rPr>
                <w:b/>
                <w:bCs/>
                <w:color w:val="000000"/>
                <w:sz w:val="18"/>
                <w:szCs w:val="18"/>
                <w:lang w:val="en-US"/>
              </w:rPr>
            </w:pPr>
          </w:p>
          <w:p w:rsidR="002664E4" w:rsidRPr="00183BC7" w:rsidRDefault="00617070" w:rsidP="00C457DC">
            <w:pPr>
              <w:jc w:val="center"/>
              <w:rPr>
                <w:b/>
                <w:bCs/>
                <w:color w:val="000000"/>
                <w:sz w:val="18"/>
                <w:szCs w:val="18"/>
                <w:lang w:val="en-US"/>
              </w:rPr>
            </w:pPr>
            <w:r>
              <w:rPr>
                <w:b/>
                <w:bCs/>
                <w:color w:val="000000"/>
                <w:sz w:val="18"/>
                <w:szCs w:val="18"/>
                <w:lang w:val="en-US"/>
              </w:rPr>
              <w:t>H1 2012</w:t>
            </w:r>
            <w:r w:rsidR="002664E4" w:rsidRPr="00183BC7">
              <w:rPr>
                <w:b/>
                <w:bCs/>
                <w:color w:val="000000"/>
                <w:sz w:val="18"/>
                <w:szCs w:val="18"/>
                <w:lang w:val="en-US"/>
              </w:rPr>
              <w:t xml:space="preserve">  </w:t>
            </w:r>
            <w:r w:rsidR="002664E4" w:rsidRPr="00183BC7">
              <w:rPr>
                <w:b/>
                <w:bCs/>
                <w:color w:val="000000"/>
                <w:sz w:val="18"/>
                <w:szCs w:val="18"/>
                <w:lang w:val="en-US"/>
              </w:rPr>
              <w:br/>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2664E4" w:rsidRPr="00471013" w:rsidRDefault="00617070" w:rsidP="00617070">
            <w:pPr>
              <w:rPr>
                <w:b/>
                <w:bCs/>
                <w:color w:val="000000"/>
                <w:sz w:val="18"/>
                <w:szCs w:val="18"/>
                <w:lang w:val="en-US"/>
              </w:rPr>
            </w:pPr>
            <w:r>
              <w:rPr>
                <w:b/>
                <w:bCs/>
                <w:color w:val="000000"/>
                <w:sz w:val="18"/>
                <w:szCs w:val="18"/>
                <w:lang w:val="en-US"/>
              </w:rPr>
              <w:t>H1 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64E4" w:rsidRPr="00183BC7" w:rsidRDefault="00617070" w:rsidP="00617070">
            <w:pPr>
              <w:jc w:val="center"/>
              <w:rPr>
                <w:b/>
                <w:bCs/>
                <w:color w:val="000000"/>
                <w:sz w:val="18"/>
                <w:szCs w:val="18"/>
                <w:lang w:val="en-US"/>
              </w:rPr>
            </w:pPr>
            <w:r>
              <w:rPr>
                <w:b/>
                <w:bCs/>
                <w:color w:val="000000"/>
                <w:sz w:val="18"/>
                <w:szCs w:val="18"/>
                <w:lang w:val="en-US"/>
              </w:rPr>
              <w:t>H1 2012</w:t>
            </w:r>
            <w:r w:rsidR="002664E4" w:rsidRPr="00183BC7">
              <w:rPr>
                <w:b/>
                <w:bCs/>
                <w:color w:val="000000"/>
                <w:sz w:val="18"/>
                <w:szCs w:val="18"/>
                <w:lang w:val="en-US"/>
              </w:rPr>
              <w:t xml:space="preserve">/ </w:t>
            </w:r>
            <w:r>
              <w:rPr>
                <w:b/>
                <w:bCs/>
                <w:color w:val="000000"/>
                <w:sz w:val="18"/>
                <w:szCs w:val="18"/>
                <w:lang w:val="en-US"/>
              </w:rPr>
              <w:t>H1 2011</w:t>
            </w:r>
            <w:r w:rsidR="002664E4" w:rsidRPr="00183BC7">
              <w:rPr>
                <w:b/>
                <w:bCs/>
                <w:color w:val="000000"/>
                <w:sz w:val="18"/>
                <w:szCs w:val="18"/>
                <w:lang w:val="en-US"/>
              </w:rPr>
              <w:t xml:space="preserve">, </w:t>
            </w:r>
            <w:r w:rsidR="002664E4">
              <w:rPr>
                <w:b/>
                <w:bCs/>
                <w:color w:val="000000"/>
                <w:sz w:val="18"/>
                <w:szCs w:val="18"/>
                <w:lang w:val="en-US"/>
              </w:rPr>
              <w:t>in</w:t>
            </w:r>
            <w:r w:rsidR="002664E4" w:rsidRPr="00183BC7">
              <w:rPr>
                <w:b/>
                <w:bCs/>
                <w:color w:val="000000"/>
                <w:sz w:val="18"/>
                <w:szCs w:val="18"/>
                <w:lang w:val="en-US"/>
              </w:rPr>
              <w:t xml:space="preserve"> %</w:t>
            </w:r>
          </w:p>
        </w:tc>
        <w:tc>
          <w:tcPr>
            <w:tcW w:w="3796" w:type="dxa"/>
            <w:tcBorders>
              <w:top w:val="single" w:sz="4" w:space="0" w:color="auto"/>
              <w:left w:val="nil"/>
              <w:bottom w:val="single" w:sz="4" w:space="0" w:color="auto"/>
              <w:right w:val="single" w:sz="4" w:space="0" w:color="auto"/>
            </w:tcBorders>
            <w:vAlign w:val="center"/>
          </w:tcPr>
          <w:p w:rsidR="002664E4" w:rsidRPr="00471013" w:rsidRDefault="002664E4" w:rsidP="00770BC8">
            <w:pPr>
              <w:jc w:val="center"/>
              <w:rPr>
                <w:b/>
                <w:bCs/>
                <w:color w:val="000000"/>
                <w:sz w:val="18"/>
                <w:szCs w:val="18"/>
                <w:lang w:val="en-US"/>
              </w:rPr>
            </w:pPr>
            <w:r>
              <w:rPr>
                <w:b/>
                <w:bCs/>
                <w:color w:val="000000"/>
                <w:sz w:val="18"/>
                <w:szCs w:val="18"/>
                <w:lang w:val="en-US"/>
              </w:rPr>
              <w:t xml:space="preserve">Factors </w:t>
            </w:r>
          </w:p>
        </w:tc>
      </w:tr>
      <w:tr w:rsidR="00617070" w:rsidRPr="00B5391C" w:rsidTr="00D218AD">
        <w:trPr>
          <w:trHeight w:val="657"/>
          <w:jc w:val="center"/>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617070" w:rsidRPr="00471013" w:rsidRDefault="00617070" w:rsidP="00770BC8">
            <w:pPr>
              <w:rPr>
                <w:color w:val="000000"/>
                <w:sz w:val="18"/>
                <w:szCs w:val="18"/>
                <w:lang w:val="en-US"/>
              </w:rPr>
            </w:pPr>
            <w:r>
              <w:rPr>
                <w:color w:val="000000"/>
                <w:sz w:val="18"/>
                <w:szCs w:val="18"/>
                <w:lang w:val="en-US"/>
              </w:rPr>
              <w:t>Oil production volume</w:t>
            </w:r>
          </w:p>
        </w:tc>
        <w:tc>
          <w:tcPr>
            <w:tcW w:w="967" w:type="dxa"/>
            <w:tcBorders>
              <w:top w:val="nil"/>
              <w:left w:val="nil"/>
              <w:bottom w:val="single" w:sz="4" w:space="0" w:color="auto"/>
              <w:right w:val="single" w:sz="4" w:space="0" w:color="auto"/>
            </w:tcBorders>
            <w:shd w:val="clear" w:color="auto" w:fill="auto"/>
            <w:noWrap/>
            <w:vAlign w:val="center"/>
            <w:hideMark/>
          </w:tcPr>
          <w:p w:rsidR="00617070" w:rsidRPr="00471013" w:rsidRDefault="00B45048" w:rsidP="00B45048">
            <w:pPr>
              <w:ind w:left="-108"/>
              <w:jc w:val="center"/>
              <w:rPr>
                <w:color w:val="000000"/>
                <w:sz w:val="18"/>
                <w:szCs w:val="18"/>
                <w:lang w:val="en-US"/>
              </w:rPr>
            </w:pPr>
            <w:r>
              <w:rPr>
                <w:color w:val="000000"/>
                <w:sz w:val="18"/>
                <w:szCs w:val="18"/>
                <w:lang w:val="en-US"/>
              </w:rPr>
              <w:t>M</w:t>
            </w:r>
            <w:r w:rsidR="000A43AE">
              <w:rPr>
                <w:color w:val="000000"/>
                <w:sz w:val="18"/>
                <w:szCs w:val="18"/>
                <w:lang w:val="en-US"/>
              </w:rPr>
              <w:t>illion</w:t>
            </w:r>
            <w:r>
              <w:rPr>
                <w:color w:val="000000"/>
                <w:sz w:val="18"/>
                <w:szCs w:val="18"/>
                <w:lang w:val="en-US"/>
              </w:rPr>
              <w:t xml:space="preserve"> </w:t>
            </w:r>
            <w:r w:rsidR="00617070">
              <w:rPr>
                <w:color w:val="000000"/>
                <w:sz w:val="18"/>
                <w:szCs w:val="18"/>
                <w:lang w:val="en-US"/>
              </w:rPr>
              <w:t>tons</w:t>
            </w:r>
          </w:p>
        </w:tc>
        <w:tc>
          <w:tcPr>
            <w:tcW w:w="877"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10,4</w:t>
            </w:r>
          </w:p>
        </w:tc>
        <w:tc>
          <w:tcPr>
            <w:tcW w:w="88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10,7</w:t>
            </w:r>
          </w:p>
        </w:tc>
        <w:tc>
          <w:tcPr>
            <w:tcW w:w="99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97%</w:t>
            </w:r>
          </w:p>
        </w:tc>
        <w:tc>
          <w:tcPr>
            <w:tcW w:w="3796" w:type="dxa"/>
            <w:tcBorders>
              <w:top w:val="nil"/>
              <w:left w:val="nil"/>
              <w:bottom w:val="single" w:sz="4" w:space="0" w:color="auto"/>
              <w:right w:val="single" w:sz="4" w:space="0" w:color="auto"/>
            </w:tcBorders>
          </w:tcPr>
          <w:p w:rsidR="001818D1" w:rsidRPr="001818D1" w:rsidRDefault="001818D1" w:rsidP="001818D1">
            <w:pPr>
              <w:rPr>
                <w:b/>
                <w:sz w:val="18"/>
                <w:szCs w:val="18"/>
                <w:lang w:val="en-US"/>
              </w:rPr>
            </w:pPr>
            <w:r w:rsidRPr="001818D1">
              <w:rPr>
                <w:b/>
                <w:sz w:val="18"/>
                <w:szCs w:val="18"/>
                <w:lang w:val="en-US"/>
              </w:rPr>
              <w:t>Reduction</w:t>
            </w:r>
          </w:p>
          <w:p w:rsidR="001818D1" w:rsidRPr="001818D1" w:rsidRDefault="001818D1" w:rsidP="001818D1">
            <w:pPr>
              <w:rPr>
                <w:sz w:val="18"/>
                <w:szCs w:val="18"/>
                <w:lang w:val="en-US"/>
              </w:rPr>
            </w:pPr>
            <w:r w:rsidRPr="001818D1">
              <w:rPr>
                <w:sz w:val="18"/>
                <w:szCs w:val="18"/>
                <w:lang w:val="en-US"/>
              </w:rPr>
              <w:t>• outages and disruption of the service system of producing wells;</w:t>
            </w:r>
          </w:p>
          <w:p w:rsidR="00617070" w:rsidRPr="001818D1" w:rsidRDefault="001818D1" w:rsidP="001818D1">
            <w:pPr>
              <w:rPr>
                <w:sz w:val="18"/>
                <w:szCs w:val="18"/>
                <w:lang w:val="en-US"/>
              </w:rPr>
            </w:pPr>
            <w:r w:rsidRPr="001818D1">
              <w:rPr>
                <w:sz w:val="18"/>
                <w:szCs w:val="18"/>
                <w:lang w:val="en-US"/>
              </w:rPr>
              <w:t xml:space="preserve">• </w:t>
            </w:r>
            <w:proofErr w:type="gramStart"/>
            <w:r w:rsidRPr="001818D1">
              <w:rPr>
                <w:sz w:val="18"/>
                <w:szCs w:val="18"/>
                <w:lang w:val="en-US"/>
              </w:rPr>
              <w:t>unplanned</w:t>
            </w:r>
            <w:proofErr w:type="gramEnd"/>
            <w:r w:rsidRPr="001818D1">
              <w:rPr>
                <w:sz w:val="18"/>
                <w:szCs w:val="18"/>
                <w:lang w:val="en-US"/>
              </w:rPr>
              <w:t xml:space="preserve"> emergency and planned outages (repair) </w:t>
            </w:r>
            <w:r>
              <w:rPr>
                <w:sz w:val="18"/>
                <w:szCs w:val="18"/>
                <w:lang w:val="en-US"/>
              </w:rPr>
              <w:t xml:space="preserve">of </w:t>
            </w:r>
            <w:r w:rsidRPr="001818D1">
              <w:rPr>
                <w:sz w:val="18"/>
                <w:szCs w:val="18"/>
                <w:lang w:val="en-US"/>
              </w:rPr>
              <w:t xml:space="preserve">integrated production line </w:t>
            </w:r>
            <w:r>
              <w:rPr>
                <w:sz w:val="18"/>
                <w:szCs w:val="18"/>
                <w:lang w:val="en-US"/>
              </w:rPr>
              <w:t xml:space="preserve">installation </w:t>
            </w:r>
            <w:r w:rsidRPr="001818D1">
              <w:rPr>
                <w:sz w:val="18"/>
                <w:szCs w:val="18"/>
                <w:lang w:val="en-US"/>
              </w:rPr>
              <w:t>and the second generation plant on TCO.</w:t>
            </w:r>
          </w:p>
        </w:tc>
      </w:tr>
      <w:tr w:rsidR="001818D1" w:rsidRPr="00B5391C" w:rsidTr="00D218AD">
        <w:trPr>
          <w:trHeight w:val="538"/>
          <w:jc w:val="center"/>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818D1" w:rsidRPr="00471013" w:rsidRDefault="001818D1" w:rsidP="00770BC8">
            <w:pPr>
              <w:rPr>
                <w:sz w:val="18"/>
                <w:szCs w:val="18"/>
                <w:lang w:val="en-US"/>
              </w:rPr>
            </w:pPr>
            <w:r w:rsidRPr="00471013">
              <w:rPr>
                <w:rFonts w:eastAsiaTheme="majorEastAsia"/>
                <w:sz w:val="18"/>
                <w:szCs w:val="18"/>
                <w:lang w:val="en-US"/>
              </w:rPr>
              <w:t>Volume</w:t>
            </w:r>
            <w:r>
              <w:rPr>
                <w:rFonts w:eastAsiaTheme="majorEastAsia"/>
                <w:sz w:val="18"/>
                <w:szCs w:val="18"/>
                <w:lang w:val="en-US"/>
              </w:rPr>
              <w:t xml:space="preserve"> </w:t>
            </w:r>
            <w:r w:rsidRPr="00471013">
              <w:rPr>
                <w:rFonts w:eastAsiaTheme="majorEastAsia"/>
                <w:sz w:val="18"/>
                <w:szCs w:val="18"/>
                <w:lang w:val="en-US"/>
              </w:rPr>
              <w:t xml:space="preserve"> of</w:t>
            </w:r>
            <w:r w:rsidRPr="00471013">
              <w:rPr>
                <w:sz w:val="18"/>
                <w:szCs w:val="18"/>
                <w:lang w:val="en-US"/>
              </w:rPr>
              <w:t> </w:t>
            </w:r>
            <w:r w:rsidRPr="00471013">
              <w:rPr>
                <w:rFonts w:eastAsiaTheme="majorEastAsia"/>
                <w:sz w:val="18"/>
                <w:szCs w:val="18"/>
                <w:lang w:val="en-US"/>
              </w:rPr>
              <w:t>oil transportation</w:t>
            </w:r>
            <w:r w:rsidRPr="00471013">
              <w:rPr>
                <w:sz w:val="18"/>
                <w:szCs w:val="18"/>
                <w:lang w:val="en-US"/>
              </w:rPr>
              <w:t> </w:t>
            </w:r>
            <w:r w:rsidRPr="00471013">
              <w:rPr>
                <w:rFonts w:eastAsiaTheme="majorEastAsia"/>
                <w:sz w:val="18"/>
                <w:szCs w:val="18"/>
                <w:lang w:val="en-US"/>
              </w:rPr>
              <w:t>on the</w:t>
            </w:r>
            <w:r w:rsidRPr="00471013">
              <w:rPr>
                <w:sz w:val="18"/>
                <w:szCs w:val="18"/>
                <w:lang w:val="en-US"/>
              </w:rPr>
              <w:t> </w:t>
            </w:r>
            <w:r w:rsidRPr="00471013">
              <w:rPr>
                <w:rFonts w:eastAsiaTheme="majorEastAsia"/>
                <w:sz w:val="18"/>
                <w:szCs w:val="18"/>
                <w:lang w:val="en-US"/>
              </w:rPr>
              <w:t>main pipe</w:t>
            </w:r>
            <w:r>
              <w:rPr>
                <w:rFonts w:eastAsiaTheme="majorEastAsia"/>
                <w:sz w:val="18"/>
                <w:szCs w:val="18"/>
                <w:lang w:val="en-US"/>
              </w:rPr>
              <w:t>line</w:t>
            </w:r>
          </w:p>
        </w:tc>
        <w:tc>
          <w:tcPr>
            <w:tcW w:w="967" w:type="dxa"/>
            <w:tcBorders>
              <w:top w:val="nil"/>
              <w:left w:val="nil"/>
              <w:bottom w:val="single" w:sz="4" w:space="0" w:color="auto"/>
              <w:right w:val="single" w:sz="4" w:space="0" w:color="auto"/>
            </w:tcBorders>
            <w:shd w:val="clear" w:color="auto" w:fill="auto"/>
            <w:noWrap/>
            <w:hideMark/>
          </w:tcPr>
          <w:p w:rsidR="001818D1" w:rsidRDefault="00B45048" w:rsidP="00B45048">
            <w:pPr>
              <w:jc w:val="center"/>
            </w:pPr>
            <w:r>
              <w:rPr>
                <w:color w:val="000000"/>
                <w:sz w:val="18"/>
                <w:szCs w:val="18"/>
                <w:lang w:val="en-US"/>
              </w:rPr>
              <w:t>M</w:t>
            </w:r>
            <w:r w:rsidR="000A43AE">
              <w:rPr>
                <w:color w:val="000000"/>
                <w:sz w:val="18"/>
                <w:szCs w:val="18"/>
                <w:lang w:val="en-US"/>
              </w:rPr>
              <w:t>illion</w:t>
            </w:r>
            <w:r>
              <w:rPr>
                <w:color w:val="000000"/>
                <w:sz w:val="18"/>
                <w:szCs w:val="18"/>
                <w:lang w:val="en-US"/>
              </w:rPr>
              <w:t xml:space="preserve"> </w:t>
            </w:r>
            <w:r w:rsidR="001818D1" w:rsidRPr="00D13C04">
              <w:rPr>
                <w:color w:val="000000"/>
                <w:sz w:val="18"/>
                <w:szCs w:val="18"/>
                <w:lang w:val="en-US"/>
              </w:rPr>
              <w:t>tons</w:t>
            </w:r>
          </w:p>
        </w:tc>
        <w:tc>
          <w:tcPr>
            <w:tcW w:w="877"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32,2</w:t>
            </w:r>
          </w:p>
        </w:tc>
        <w:tc>
          <w:tcPr>
            <w:tcW w:w="882"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33,7</w:t>
            </w:r>
          </w:p>
        </w:tc>
        <w:tc>
          <w:tcPr>
            <w:tcW w:w="992"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96%</w:t>
            </w:r>
          </w:p>
        </w:tc>
        <w:tc>
          <w:tcPr>
            <w:tcW w:w="3796" w:type="dxa"/>
            <w:tcBorders>
              <w:top w:val="nil"/>
              <w:left w:val="nil"/>
              <w:bottom w:val="single" w:sz="4" w:space="0" w:color="auto"/>
              <w:right w:val="single" w:sz="4" w:space="0" w:color="auto"/>
            </w:tcBorders>
          </w:tcPr>
          <w:p w:rsidR="001818D1" w:rsidRPr="001818D1" w:rsidRDefault="001818D1" w:rsidP="001818D1">
            <w:pPr>
              <w:rPr>
                <w:b/>
                <w:sz w:val="18"/>
                <w:szCs w:val="18"/>
                <w:lang w:val="en-US"/>
              </w:rPr>
            </w:pPr>
            <w:r w:rsidRPr="001818D1">
              <w:rPr>
                <w:b/>
                <w:sz w:val="18"/>
                <w:szCs w:val="18"/>
                <w:lang w:val="en-US"/>
              </w:rPr>
              <w:t>Reduction</w:t>
            </w:r>
          </w:p>
          <w:p w:rsidR="001818D1" w:rsidRPr="001818D1" w:rsidRDefault="001818D1" w:rsidP="001818D1">
            <w:pPr>
              <w:rPr>
                <w:sz w:val="18"/>
                <w:szCs w:val="18"/>
                <w:lang w:val="en-US"/>
              </w:rPr>
            </w:pPr>
            <w:r w:rsidRPr="001818D1">
              <w:rPr>
                <w:sz w:val="18"/>
                <w:szCs w:val="18"/>
                <w:lang w:val="en-US"/>
              </w:rPr>
              <w:t>Restricting the supply of oil to the pipeline system by the Russian side</w:t>
            </w:r>
          </w:p>
        </w:tc>
      </w:tr>
      <w:tr w:rsidR="001818D1" w:rsidRPr="00353DB4" w:rsidTr="00D218AD">
        <w:trPr>
          <w:trHeight w:val="419"/>
          <w:jc w:val="center"/>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1818D1" w:rsidRPr="00471013" w:rsidRDefault="001818D1" w:rsidP="00770BC8">
            <w:pPr>
              <w:rPr>
                <w:color w:val="000000"/>
                <w:sz w:val="18"/>
                <w:szCs w:val="18"/>
                <w:lang w:val="en-US"/>
              </w:rPr>
            </w:pPr>
            <w:r>
              <w:rPr>
                <w:color w:val="000000"/>
                <w:sz w:val="18"/>
                <w:szCs w:val="18"/>
                <w:lang w:val="en-US"/>
              </w:rPr>
              <w:t>Volume of gas transportation</w:t>
            </w:r>
          </w:p>
        </w:tc>
        <w:tc>
          <w:tcPr>
            <w:tcW w:w="967" w:type="dxa"/>
            <w:tcBorders>
              <w:top w:val="nil"/>
              <w:left w:val="nil"/>
              <w:bottom w:val="single" w:sz="4" w:space="0" w:color="auto"/>
              <w:right w:val="single" w:sz="4" w:space="0" w:color="auto"/>
            </w:tcBorders>
            <w:shd w:val="clear" w:color="auto" w:fill="auto"/>
            <w:noWrap/>
            <w:hideMark/>
          </w:tcPr>
          <w:p w:rsidR="001818D1" w:rsidRPr="006B61CA" w:rsidRDefault="00B45048" w:rsidP="00B45048">
            <w:pPr>
              <w:jc w:val="center"/>
            </w:pPr>
            <w:r>
              <w:rPr>
                <w:color w:val="000000"/>
                <w:sz w:val="18"/>
                <w:szCs w:val="18"/>
                <w:lang w:val="en-US"/>
              </w:rPr>
              <w:t>M</w:t>
            </w:r>
            <w:r w:rsidR="000A43AE">
              <w:rPr>
                <w:color w:val="000000"/>
                <w:sz w:val="18"/>
                <w:szCs w:val="18"/>
                <w:lang w:val="en-US"/>
              </w:rPr>
              <w:t>illion</w:t>
            </w:r>
            <w:r>
              <w:rPr>
                <w:color w:val="000000"/>
                <w:sz w:val="18"/>
                <w:szCs w:val="18"/>
                <w:lang w:val="en-US"/>
              </w:rPr>
              <w:t xml:space="preserve"> </w:t>
            </w:r>
            <w:r w:rsidR="001818D1">
              <w:rPr>
                <w:color w:val="000000"/>
                <w:sz w:val="18"/>
                <w:szCs w:val="18"/>
                <w:lang w:val="en-US"/>
              </w:rPr>
              <w:t>m3</w:t>
            </w:r>
          </w:p>
        </w:tc>
        <w:tc>
          <w:tcPr>
            <w:tcW w:w="877"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56,4</w:t>
            </w:r>
          </w:p>
        </w:tc>
        <w:tc>
          <w:tcPr>
            <w:tcW w:w="882"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54,3</w:t>
            </w:r>
          </w:p>
        </w:tc>
        <w:tc>
          <w:tcPr>
            <w:tcW w:w="992" w:type="dxa"/>
            <w:tcBorders>
              <w:top w:val="nil"/>
              <w:left w:val="nil"/>
              <w:bottom w:val="single" w:sz="4" w:space="0" w:color="auto"/>
              <w:right w:val="single" w:sz="4" w:space="0" w:color="auto"/>
            </w:tcBorders>
            <w:shd w:val="clear" w:color="auto" w:fill="auto"/>
            <w:noWrap/>
            <w:vAlign w:val="center"/>
            <w:hideMark/>
          </w:tcPr>
          <w:p w:rsidR="001818D1" w:rsidRPr="00F57E69" w:rsidRDefault="001818D1"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104%</w:t>
            </w:r>
          </w:p>
        </w:tc>
        <w:tc>
          <w:tcPr>
            <w:tcW w:w="3796" w:type="dxa"/>
            <w:tcBorders>
              <w:top w:val="nil"/>
              <w:left w:val="nil"/>
              <w:bottom w:val="single" w:sz="4" w:space="0" w:color="auto"/>
              <w:right w:val="single" w:sz="4" w:space="0" w:color="auto"/>
            </w:tcBorders>
          </w:tcPr>
          <w:p w:rsidR="001818D1" w:rsidRPr="001818D1" w:rsidRDefault="001818D1" w:rsidP="001818D1">
            <w:pPr>
              <w:rPr>
                <w:b/>
                <w:sz w:val="18"/>
                <w:szCs w:val="18"/>
                <w:lang w:val="en-US"/>
              </w:rPr>
            </w:pPr>
            <w:r w:rsidRPr="001818D1">
              <w:rPr>
                <w:b/>
                <w:sz w:val="18"/>
                <w:szCs w:val="18"/>
                <w:lang w:val="en-US"/>
              </w:rPr>
              <w:t>Increase</w:t>
            </w:r>
          </w:p>
          <w:p w:rsidR="001818D1" w:rsidRPr="001818D1" w:rsidRDefault="001818D1" w:rsidP="001818D1">
            <w:pPr>
              <w:rPr>
                <w:lang w:val="en-US"/>
              </w:rPr>
            </w:pPr>
            <w:r w:rsidRPr="001818D1">
              <w:rPr>
                <w:sz w:val="18"/>
                <w:szCs w:val="18"/>
                <w:lang w:val="en-US"/>
              </w:rPr>
              <w:t>Growth in transport for gas export and transit on the Chinese direction</w:t>
            </w:r>
          </w:p>
        </w:tc>
      </w:tr>
      <w:tr w:rsidR="00617070" w:rsidRPr="00353DB4" w:rsidTr="00D218AD">
        <w:trPr>
          <w:trHeight w:val="571"/>
          <w:jc w:val="center"/>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617070" w:rsidRPr="00373F16" w:rsidRDefault="00617070" w:rsidP="00770BC8">
            <w:pPr>
              <w:rPr>
                <w:sz w:val="18"/>
                <w:szCs w:val="18"/>
                <w:lang w:val="en-US"/>
              </w:rPr>
            </w:pPr>
            <w:r w:rsidRPr="00373F16">
              <w:rPr>
                <w:rFonts w:eastAsiaTheme="majorEastAsia"/>
                <w:sz w:val="18"/>
                <w:szCs w:val="18"/>
                <w:lang w:val="en-US"/>
              </w:rPr>
              <w:t>The volume of</w:t>
            </w:r>
            <w:r w:rsidRPr="00373F16">
              <w:rPr>
                <w:sz w:val="18"/>
                <w:szCs w:val="18"/>
                <w:lang w:val="en-US"/>
              </w:rPr>
              <w:t> </w:t>
            </w:r>
            <w:r w:rsidRPr="00373F16">
              <w:rPr>
                <w:rFonts w:eastAsiaTheme="majorEastAsia"/>
                <w:sz w:val="18"/>
                <w:szCs w:val="18"/>
                <w:lang w:val="en-US"/>
              </w:rPr>
              <w:t>oil transportation</w:t>
            </w:r>
            <w:r w:rsidRPr="00373F16">
              <w:rPr>
                <w:sz w:val="18"/>
                <w:szCs w:val="18"/>
                <w:lang w:val="en-US"/>
              </w:rPr>
              <w:t> </w:t>
            </w:r>
            <w:r w:rsidRPr="00373F16">
              <w:rPr>
                <w:rFonts w:eastAsiaTheme="majorEastAsia"/>
                <w:sz w:val="18"/>
                <w:szCs w:val="18"/>
                <w:lang w:val="en-US"/>
              </w:rPr>
              <w:t>by sea</w:t>
            </w:r>
            <w:r w:rsidRPr="00373F16">
              <w:rPr>
                <w:sz w:val="18"/>
                <w:szCs w:val="18"/>
                <w:lang w:val="en-US"/>
              </w:rPr>
              <w:t> </w:t>
            </w:r>
            <w:r w:rsidRPr="00373F16">
              <w:rPr>
                <w:rFonts w:eastAsiaTheme="majorEastAsia"/>
                <w:sz w:val="18"/>
                <w:szCs w:val="18"/>
                <w:lang w:val="en-US"/>
              </w:rPr>
              <w:t>fleet</w:t>
            </w:r>
          </w:p>
        </w:tc>
        <w:tc>
          <w:tcPr>
            <w:tcW w:w="967" w:type="dxa"/>
            <w:tcBorders>
              <w:top w:val="nil"/>
              <w:left w:val="nil"/>
              <w:bottom w:val="single" w:sz="4" w:space="0" w:color="auto"/>
              <w:right w:val="single" w:sz="4" w:space="0" w:color="auto"/>
            </w:tcBorders>
            <w:shd w:val="clear" w:color="auto" w:fill="auto"/>
            <w:noWrap/>
            <w:hideMark/>
          </w:tcPr>
          <w:p w:rsidR="00617070" w:rsidRDefault="00B45048" w:rsidP="00B45048">
            <w:pPr>
              <w:jc w:val="center"/>
            </w:pPr>
            <w:r>
              <w:rPr>
                <w:color w:val="000000"/>
                <w:sz w:val="18"/>
                <w:szCs w:val="18"/>
                <w:lang w:val="en-US"/>
              </w:rPr>
              <w:t>M</w:t>
            </w:r>
            <w:r w:rsidR="000A43AE">
              <w:rPr>
                <w:color w:val="000000"/>
                <w:sz w:val="18"/>
                <w:szCs w:val="18"/>
                <w:lang w:val="en-US"/>
              </w:rPr>
              <w:t>illion</w:t>
            </w:r>
            <w:r>
              <w:rPr>
                <w:color w:val="000000"/>
                <w:sz w:val="18"/>
                <w:szCs w:val="18"/>
                <w:lang w:val="en-US"/>
              </w:rPr>
              <w:t xml:space="preserve"> </w:t>
            </w:r>
            <w:r w:rsidR="00617070" w:rsidRPr="00D13C04">
              <w:rPr>
                <w:color w:val="000000"/>
                <w:sz w:val="18"/>
                <w:szCs w:val="18"/>
                <w:lang w:val="en-US"/>
              </w:rPr>
              <w:t>tons</w:t>
            </w:r>
          </w:p>
        </w:tc>
        <w:tc>
          <w:tcPr>
            <w:tcW w:w="877"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6,9</w:t>
            </w:r>
          </w:p>
        </w:tc>
        <w:tc>
          <w:tcPr>
            <w:tcW w:w="88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4,2</w:t>
            </w:r>
          </w:p>
        </w:tc>
        <w:tc>
          <w:tcPr>
            <w:tcW w:w="99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164%</w:t>
            </w:r>
          </w:p>
        </w:tc>
        <w:tc>
          <w:tcPr>
            <w:tcW w:w="3796" w:type="dxa"/>
            <w:tcBorders>
              <w:top w:val="nil"/>
              <w:left w:val="nil"/>
              <w:bottom w:val="single" w:sz="4" w:space="0" w:color="auto"/>
              <w:right w:val="single" w:sz="4" w:space="0" w:color="auto"/>
            </w:tcBorders>
          </w:tcPr>
          <w:p w:rsidR="001818D1" w:rsidRPr="001818D1" w:rsidRDefault="001818D1" w:rsidP="001818D1">
            <w:pPr>
              <w:rPr>
                <w:b/>
                <w:sz w:val="18"/>
                <w:szCs w:val="18"/>
                <w:lang w:val="en-US"/>
              </w:rPr>
            </w:pPr>
            <w:r w:rsidRPr="001818D1">
              <w:rPr>
                <w:b/>
                <w:sz w:val="18"/>
                <w:szCs w:val="18"/>
                <w:lang w:val="en-US"/>
              </w:rPr>
              <w:t>Increase</w:t>
            </w:r>
          </w:p>
          <w:p w:rsidR="001818D1" w:rsidRPr="001818D1" w:rsidRDefault="001818D1" w:rsidP="001818D1">
            <w:pPr>
              <w:rPr>
                <w:sz w:val="18"/>
                <w:szCs w:val="18"/>
                <w:lang w:val="en-US"/>
              </w:rPr>
            </w:pPr>
            <w:r w:rsidRPr="001818D1">
              <w:rPr>
                <w:sz w:val="18"/>
                <w:szCs w:val="18"/>
                <w:lang w:val="en-US"/>
              </w:rPr>
              <w:t>•</w:t>
            </w:r>
            <w:r>
              <w:rPr>
                <w:sz w:val="18"/>
                <w:szCs w:val="18"/>
                <w:lang w:val="en-US"/>
              </w:rPr>
              <w:t xml:space="preserve"> on</w:t>
            </w:r>
            <w:r w:rsidRPr="001818D1">
              <w:rPr>
                <w:sz w:val="18"/>
                <w:szCs w:val="18"/>
                <w:lang w:val="en-US"/>
              </w:rPr>
              <w:t xml:space="preserve"> the direction of </w:t>
            </w:r>
            <w:proofErr w:type="spellStart"/>
            <w:r w:rsidRPr="001818D1">
              <w:rPr>
                <w:sz w:val="18"/>
                <w:szCs w:val="18"/>
                <w:lang w:val="en-US"/>
              </w:rPr>
              <w:t>Aktau</w:t>
            </w:r>
            <w:proofErr w:type="spellEnd"/>
            <w:r w:rsidRPr="001818D1">
              <w:rPr>
                <w:sz w:val="18"/>
                <w:szCs w:val="18"/>
                <w:lang w:val="en-US"/>
              </w:rPr>
              <w:t>-Baku because of the additional volume from shippers;</w:t>
            </w:r>
          </w:p>
          <w:p w:rsidR="00617070" w:rsidRPr="004F620B" w:rsidRDefault="001818D1" w:rsidP="001818D1">
            <w:pPr>
              <w:rPr>
                <w:sz w:val="18"/>
                <w:szCs w:val="18"/>
                <w:lang w:val="en-US"/>
              </w:rPr>
            </w:pPr>
            <w:r w:rsidRPr="001818D1">
              <w:rPr>
                <w:sz w:val="18"/>
                <w:szCs w:val="18"/>
                <w:lang w:val="en-US"/>
              </w:rPr>
              <w:t xml:space="preserve">• </w:t>
            </w:r>
            <w:r>
              <w:rPr>
                <w:sz w:val="18"/>
                <w:szCs w:val="18"/>
                <w:lang w:val="en-US"/>
              </w:rPr>
              <w:t xml:space="preserve">on </w:t>
            </w:r>
            <w:r w:rsidRPr="001818D1">
              <w:rPr>
                <w:sz w:val="18"/>
                <w:szCs w:val="18"/>
                <w:lang w:val="en-US"/>
              </w:rPr>
              <w:t>the direction of the Black Sea due to increased volumes associated with t</w:t>
            </w:r>
            <w:r>
              <w:rPr>
                <w:sz w:val="18"/>
                <w:szCs w:val="18"/>
                <w:lang w:val="en-US"/>
              </w:rPr>
              <w:t xml:space="preserve">he acquisition of two </w:t>
            </w:r>
            <w:proofErr w:type="spellStart"/>
            <w:r>
              <w:rPr>
                <w:sz w:val="18"/>
                <w:szCs w:val="18"/>
                <w:lang w:val="en-US"/>
              </w:rPr>
              <w:t>Afromax</w:t>
            </w:r>
            <w:proofErr w:type="spellEnd"/>
          </w:p>
        </w:tc>
      </w:tr>
      <w:tr w:rsidR="00617070" w:rsidRPr="00353DB4" w:rsidTr="00D218AD">
        <w:trPr>
          <w:trHeight w:val="495"/>
          <w:jc w:val="center"/>
        </w:trPr>
        <w:tc>
          <w:tcPr>
            <w:tcW w:w="2410" w:type="dxa"/>
            <w:tcBorders>
              <w:top w:val="nil"/>
              <w:left w:val="single" w:sz="8" w:space="0" w:color="auto"/>
              <w:bottom w:val="single" w:sz="4" w:space="0" w:color="auto"/>
              <w:right w:val="single" w:sz="4" w:space="0" w:color="auto"/>
            </w:tcBorders>
            <w:shd w:val="clear" w:color="auto" w:fill="auto"/>
            <w:noWrap/>
            <w:vAlign w:val="center"/>
            <w:hideMark/>
          </w:tcPr>
          <w:p w:rsidR="00617070" w:rsidRPr="00471013" w:rsidRDefault="00617070" w:rsidP="00770BC8">
            <w:pPr>
              <w:rPr>
                <w:color w:val="000000"/>
                <w:sz w:val="18"/>
                <w:szCs w:val="18"/>
                <w:lang w:val="en-US"/>
              </w:rPr>
            </w:pPr>
            <w:r>
              <w:rPr>
                <w:color w:val="000000"/>
                <w:sz w:val="18"/>
                <w:szCs w:val="18"/>
                <w:lang w:val="en-US"/>
              </w:rPr>
              <w:t>Volume of oil refining</w:t>
            </w:r>
          </w:p>
        </w:tc>
        <w:tc>
          <w:tcPr>
            <w:tcW w:w="967" w:type="dxa"/>
            <w:tcBorders>
              <w:top w:val="nil"/>
              <w:left w:val="nil"/>
              <w:bottom w:val="single" w:sz="4" w:space="0" w:color="auto"/>
              <w:right w:val="single" w:sz="4" w:space="0" w:color="auto"/>
            </w:tcBorders>
            <w:shd w:val="clear" w:color="auto" w:fill="auto"/>
            <w:noWrap/>
            <w:hideMark/>
          </w:tcPr>
          <w:p w:rsidR="00617070" w:rsidRDefault="00B45048" w:rsidP="00B45048">
            <w:pPr>
              <w:jc w:val="center"/>
            </w:pPr>
            <w:r>
              <w:rPr>
                <w:color w:val="000000"/>
                <w:sz w:val="18"/>
                <w:szCs w:val="18"/>
                <w:lang w:val="en-US"/>
              </w:rPr>
              <w:t>M</w:t>
            </w:r>
            <w:r w:rsidR="000A43AE">
              <w:rPr>
                <w:color w:val="000000"/>
                <w:sz w:val="18"/>
                <w:szCs w:val="18"/>
                <w:lang w:val="en-US"/>
              </w:rPr>
              <w:t>illion</w:t>
            </w:r>
            <w:r>
              <w:rPr>
                <w:color w:val="000000"/>
                <w:sz w:val="18"/>
                <w:szCs w:val="18"/>
                <w:lang w:val="en-US"/>
              </w:rPr>
              <w:t xml:space="preserve"> </w:t>
            </w:r>
            <w:r w:rsidR="00617070" w:rsidRPr="00D13C04">
              <w:rPr>
                <w:color w:val="000000"/>
                <w:sz w:val="18"/>
                <w:szCs w:val="18"/>
                <w:lang w:val="en-US"/>
              </w:rPr>
              <w:t>tons</w:t>
            </w:r>
          </w:p>
        </w:tc>
        <w:tc>
          <w:tcPr>
            <w:tcW w:w="877"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7,9</w:t>
            </w:r>
          </w:p>
        </w:tc>
        <w:tc>
          <w:tcPr>
            <w:tcW w:w="88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7,4</w:t>
            </w:r>
          </w:p>
        </w:tc>
        <w:tc>
          <w:tcPr>
            <w:tcW w:w="99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107%</w:t>
            </w:r>
          </w:p>
        </w:tc>
        <w:tc>
          <w:tcPr>
            <w:tcW w:w="3796" w:type="dxa"/>
            <w:tcBorders>
              <w:top w:val="nil"/>
              <w:left w:val="nil"/>
              <w:bottom w:val="single" w:sz="4" w:space="0" w:color="auto"/>
              <w:right w:val="single" w:sz="4" w:space="0" w:color="auto"/>
            </w:tcBorders>
          </w:tcPr>
          <w:p w:rsidR="001818D1" w:rsidRPr="001818D1" w:rsidRDefault="001818D1" w:rsidP="001818D1">
            <w:pPr>
              <w:rPr>
                <w:b/>
                <w:sz w:val="18"/>
                <w:szCs w:val="18"/>
                <w:lang w:val="en-US"/>
              </w:rPr>
            </w:pPr>
            <w:r w:rsidRPr="001818D1">
              <w:rPr>
                <w:b/>
                <w:sz w:val="18"/>
                <w:szCs w:val="18"/>
                <w:lang w:val="en-US"/>
              </w:rPr>
              <w:t>Increase</w:t>
            </w:r>
          </w:p>
          <w:p w:rsidR="001818D1" w:rsidRPr="001818D1" w:rsidRDefault="001818D1" w:rsidP="001818D1">
            <w:pPr>
              <w:rPr>
                <w:sz w:val="18"/>
                <w:szCs w:val="18"/>
                <w:lang w:val="en-US"/>
              </w:rPr>
            </w:pPr>
            <w:r w:rsidRPr="001818D1">
              <w:rPr>
                <w:sz w:val="18"/>
                <w:szCs w:val="18"/>
                <w:lang w:val="en-US"/>
              </w:rPr>
              <w:t xml:space="preserve">• increase </w:t>
            </w:r>
            <w:r>
              <w:rPr>
                <w:sz w:val="18"/>
                <w:szCs w:val="18"/>
                <w:lang w:val="en-US"/>
              </w:rPr>
              <w:t xml:space="preserve">in </w:t>
            </w:r>
            <w:r w:rsidRPr="001818D1">
              <w:rPr>
                <w:sz w:val="18"/>
                <w:szCs w:val="18"/>
                <w:lang w:val="en-US"/>
              </w:rPr>
              <w:t xml:space="preserve">the supply of oil </w:t>
            </w:r>
            <w:r>
              <w:rPr>
                <w:sz w:val="18"/>
                <w:szCs w:val="18"/>
                <w:lang w:val="en-US"/>
              </w:rPr>
              <w:t>by external processors on AR</w:t>
            </w:r>
            <w:r w:rsidRPr="001818D1">
              <w:rPr>
                <w:sz w:val="18"/>
                <w:szCs w:val="18"/>
                <w:lang w:val="en-US"/>
              </w:rPr>
              <w:t xml:space="preserve">, </w:t>
            </w:r>
            <w:r w:rsidR="00345E81">
              <w:rPr>
                <w:sz w:val="18"/>
                <w:szCs w:val="18"/>
                <w:lang w:val="en-US"/>
              </w:rPr>
              <w:t>POCR</w:t>
            </w:r>
            <w:r w:rsidRPr="001818D1">
              <w:rPr>
                <w:sz w:val="18"/>
                <w:szCs w:val="18"/>
                <w:lang w:val="en-US"/>
              </w:rPr>
              <w:t xml:space="preserve"> and PKOP;</w:t>
            </w:r>
          </w:p>
          <w:p w:rsidR="00617070" w:rsidRPr="004F620B" w:rsidRDefault="001818D1" w:rsidP="00345E81">
            <w:pPr>
              <w:rPr>
                <w:sz w:val="18"/>
                <w:szCs w:val="18"/>
                <w:lang w:val="en-US"/>
              </w:rPr>
            </w:pPr>
            <w:r w:rsidRPr="001818D1">
              <w:rPr>
                <w:sz w:val="18"/>
                <w:szCs w:val="18"/>
                <w:lang w:val="en-US"/>
              </w:rPr>
              <w:lastRenderedPageBreak/>
              <w:t xml:space="preserve">• forced increase </w:t>
            </w:r>
            <w:r w:rsidR="00345E81">
              <w:rPr>
                <w:sz w:val="18"/>
                <w:szCs w:val="18"/>
                <w:lang w:val="en-US"/>
              </w:rPr>
              <w:t xml:space="preserve">of </w:t>
            </w:r>
            <w:r w:rsidRPr="001818D1">
              <w:rPr>
                <w:sz w:val="18"/>
                <w:szCs w:val="18"/>
                <w:lang w:val="en-US"/>
              </w:rPr>
              <w:t>the volume</w:t>
            </w:r>
            <w:r w:rsidR="00345E81">
              <w:rPr>
                <w:sz w:val="18"/>
                <w:szCs w:val="18"/>
                <w:lang w:val="en-US"/>
              </w:rPr>
              <w:t>s</w:t>
            </w:r>
            <w:r w:rsidRPr="001818D1">
              <w:rPr>
                <w:sz w:val="18"/>
                <w:szCs w:val="18"/>
                <w:lang w:val="en-US"/>
              </w:rPr>
              <w:t xml:space="preserve"> in relation to the planned plant shutdown in the 2nd half of 2012 </w:t>
            </w:r>
            <w:r w:rsidR="00345E81">
              <w:rPr>
                <w:sz w:val="18"/>
                <w:szCs w:val="18"/>
                <w:lang w:val="en-US"/>
              </w:rPr>
              <w:t>on AR</w:t>
            </w:r>
            <w:r w:rsidRPr="001818D1">
              <w:rPr>
                <w:sz w:val="18"/>
                <w:szCs w:val="18"/>
                <w:lang w:val="en-US"/>
              </w:rPr>
              <w:t>.</w:t>
            </w:r>
          </w:p>
        </w:tc>
      </w:tr>
      <w:tr w:rsidR="00617070" w:rsidRPr="00353DB4" w:rsidTr="00D218AD">
        <w:trPr>
          <w:trHeight w:val="300"/>
          <w:jc w:val="center"/>
        </w:trPr>
        <w:tc>
          <w:tcPr>
            <w:tcW w:w="2410" w:type="dxa"/>
            <w:tcBorders>
              <w:top w:val="nil"/>
              <w:left w:val="single" w:sz="8" w:space="0" w:color="auto"/>
              <w:bottom w:val="single" w:sz="4" w:space="0" w:color="auto"/>
              <w:right w:val="single" w:sz="4" w:space="0" w:color="auto"/>
            </w:tcBorders>
            <w:shd w:val="clear" w:color="auto" w:fill="auto"/>
            <w:noWrap/>
            <w:vAlign w:val="bottom"/>
            <w:hideMark/>
          </w:tcPr>
          <w:p w:rsidR="00617070" w:rsidRPr="00471013" w:rsidRDefault="00617070" w:rsidP="00770BC8">
            <w:pPr>
              <w:rPr>
                <w:color w:val="000000"/>
                <w:sz w:val="18"/>
                <w:szCs w:val="18"/>
                <w:lang w:val="en-US"/>
              </w:rPr>
            </w:pPr>
            <w:r w:rsidRPr="00617070">
              <w:rPr>
                <w:color w:val="000000"/>
                <w:sz w:val="18"/>
                <w:szCs w:val="18"/>
                <w:lang w:val="en-US"/>
              </w:rPr>
              <w:lastRenderedPageBreak/>
              <w:t>Number of accidents which caused suspension of production or environmental damage</w:t>
            </w:r>
          </w:p>
        </w:tc>
        <w:tc>
          <w:tcPr>
            <w:tcW w:w="967" w:type="dxa"/>
            <w:tcBorders>
              <w:top w:val="nil"/>
              <w:left w:val="nil"/>
              <w:bottom w:val="single" w:sz="4" w:space="0" w:color="auto"/>
              <w:right w:val="single" w:sz="4" w:space="0" w:color="auto"/>
            </w:tcBorders>
            <w:shd w:val="clear" w:color="auto" w:fill="auto"/>
            <w:noWrap/>
            <w:vAlign w:val="bottom"/>
            <w:hideMark/>
          </w:tcPr>
          <w:p w:rsidR="00617070" w:rsidRPr="00471013" w:rsidRDefault="00617070" w:rsidP="00770BC8">
            <w:pPr>
              <w:rPr>
                <w:color w:val="000000"/>
                <w:sz w:val="18"/>
                <w:szCs w:val="18"/>
                <w:lang w:val="en-US"/>
              </w:rPr>
            </w:pPr>
          </w:p>
        </w:tc>
        <w:tc>
          <w:tcPr>
            <w:tcW w:w="877"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4</w:t>
            </w:r>
          </w:p>
        </w:tc>
        <w:tc>
          <w:tcPr>
            <w:tcW w:w="88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4</w:t>
            </w:r>
          </w:p>
        </w:tc>
        <w:tc>
          <w:tcPr>
            <w:tcW w:w="992" w:type="dxa"/>
            <w:tcBorders>
              <w:top w:val="nil"/>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100%</w:t>
            </w:r>
          </w:p>
        </w:tc>
        <w:tc>
          <w:tcPr>
            <w:tcW w:w="3796" w:type="dxa"/>
            <w:tcBorders>
              <w:top w:val="nil"/>
              <w:left w:val="nil"/>
              <w:bottom w:val="single" w:sz="4" w:space="0" w:color="auto"/>
              <w:right w:val="single" w:sz="4" w:space="0" w:color="auto"/>
            </w:tcBorders>
          </w:tcPr>
          <w:p w:rsidR="00345E81" w:rsidRPr="00345E81" w:rsidRDefault="00345E81" w:rsidP="00345E81">
            <w:pPr>
              <w:rPr>
                <w:b/>
                <w:color w:val="000000"/>
                <w:sz w:val="18"/>
                <w:szCs w:val="18"/>
                <w:lang w:val="en-US"/>
              </w:rPr>
            </w:pPr>
            <w:r w:rsidRPr="00345E81">
              <w:rPr>
                <w:b/>
                <w:color w:val="000000"/>
                <w:sz w:val="18"/>
                <w:szCs w:val="18"/>
                <w:lang w:val="en-US"/>
              </w:rPr>
              <w:t>No victims.</w:t>
            </w:r>
          </w:p>
          <w:p w:rsidR="00345E81" w:rsidRPr="00345E81" w:rsidRDefault="00345E81" w:rsidP="00345E81">
            <w:pPr>
              <w:rPr>
                <w:b/>
                <w:color w:val="000000"/>
                <w:sz w:val="18"/>
                <w:szCs w:val="18"/>
                <w:lang w:val="en-US"/>
              </w:rPr>
            </w:pPr>
            <w:r w:rsidRPr="00345E81">
              <w:rPr>
                <w:b/>
                <w:color w:val="000000"/>
                <w:sz w:val="18"/>
                <w:szCs w:val="18"/>
                <w:lang w:val="en-US"/>
              </w:rPr>
              <w:t>Growth of environmental damage by KZT 11.4 million (H1 2011 – KZT 5.4 million)</w:t>
            </w:r>
          </w:p>
          <w:p w:rsidR="00345E81" w:rsidRPr="00345E81" w:rsidRDefault="00345E81" w:rsidP="00345E81">
            <w:pPr>
              <w:rPr>
                <w:color w:val="000000"/>
                <w:sz w:val="18"/>
                <w:szCs w:val="18"/>
                <w:lang w:val="en-US"/>
              </w:rPr>
            </w:pPr>
            <w:r w:rsidRPr="00345E81">
              <w:rPr>
                <w:color w:val="000000"/>
                <w:sz w:val="18"/>
                <w:szCs w:val="18"/>
                <w:lang w:val="en-US"/>
              </w:rPr>
              <w:t>• tear</w:t>
            </w:r>
            <w:r w:rsidR="00957653">
              <w:rPr>
                <w:color w:val="000000"/>
                <w:sz w:val="18"/>
                <w:szCs w:val="18"/>
                <w:lang w:val="en-US"/>
              </w:rPr>
              <w:t xml:space="preserve"> of</w:t>
            </w:r>
            <w:r w:rsidRPr="00345E81">
              <w:rPr>
                <w:color w:val="000000"/>
                <w:sz w:val="18"/>
                <w:szCs w:val="18"/>
                <w:lang w:val="en-US"/>
              </w:rPr>
              <w:t xml:space="preserve"> gas </w:t>
            </w:r>
            <w:r w:rsidR="00957653">
              <w:rPr>
                <w:color w:val="000000"/>
                <w:sz w:val="18"/>
                <w:szCs w:val="18"/>
                <w:lang w:val="en-US"/>
              </w:rPr>
              <w:t>pipe line with fire at South UMG K</w:t>
            </w:r>
            <w:r w:rsidRPr="00345E81">
              <w:rPr>
                <w:color w:val="000000"/>
                <w:sz w:val="18"/>
                <w:szCs w:val="18"/>
                <w:lang w:val="en-US"/>
              </w:rPr>
              <w:t>TG (16.8 million tons of damage to the environment);</w:t>
            </w:r>
          </w:p>
          <w:p w:rsidR="00345E81" w:rsidRPr="00345E81" w:rsidRDefault="00345E81" w:rsidP="00345E81">
            <w:pPr>
              <w:rPr>
                <w:color w:val="000000"/>
                <w:sz w:val="18"/>
                <w:szCs w:val="18"/>
                <w:lang w:val="en-US"/>
              </w:rPr>
            </w:pPr>
            <w:r w:rsidRPr="00345E81">
              <w:rPr>
                <w:color w:val="000000"/>
                <w:sz w:val="18"/>
                <w:szCs w:val="18"/>
                <w:lang w:val="en-US"/>
              </w:rPr>
              <w:t xml:space="preserve">• </w:t>
            </w:r>
            <w:r w:rsidR="00957653">
              <w:rPr>
                <w:color w:val="000000"/>
                <w:sz w:val="18"/>
                <w:szCs w:val="18"/>
                <w:lang w:val="en-US"/>
              </w:rPr>
              <w:t>inflammation of the pipe line</w:t>
            </w:r>
            <w:r w:rsidRPr="00345E81">
              <w:rPr>
                <w:color w:val="000000"/>
                <w:sz w:val="18"/>
                <w:szCs w:val="18"/>
                <w:lang w:val="en-US"/>
              </w:rPr>
              <w:t xml:space="preserve"> at the exit of the furnace </w:t>
            </w:r>
            <w:r w:rsidR="00957653">
              <w:rPr>
                <w:color w:val="000000"/>
                <w:sz w:val="18"/>
                <w:szCs w:val="18"/>
                <w:lang w:val="en-US"/>
              </w:rPr>
              <w:t xml:space="preserve">in </w:t>
            </w:r>
            <w:r w:rsidR="00EF2F67">
              <w:rPr>
                <w:color w:val="000000"/>
                <w:sz w:val="18"/>
                <w:szCs w:val="18"/>
                <w:lang w:val="en-US"/>
              </w:rPr>
              <w:t>«</w:t>
            </w:r>
            <w:r w:rsidRPr="00345E81">
              <w:rPr>
                <w:color w:val="000000"/>
                <w:sz w:val="18"/>
                <w:szCs w:val="18"/>
                <w:lang w:val="en-US"/>
              </w:rPr>
              <w:t>PKOP</w:t>
            </w:r>
            <w:r w:rsidR="00EF2F67">
              <w:rPr>
                <w:color w:val="000000"/>
                <w:sz w:val="18"/>
                <w:szCs w:val="18"/>
                <w:lang w:val="en-US"/>
              </w:rPr>
              <w:t>»</w:t>
            </w:r>
            <w:r w:rsidRPr="00345E81">
              <w:rPr>
                <w:color w:val="000000"/>
                <w:sz w:val="18"/>
                <w:szCs w:val="18"/>
                <w:lang w:val="en-US"/>
              </w:rPr>
              <w:t xml:space="preserve"> LLP;</w:t>
            </w:r>
          </w:p>
          <w:p w:rsidR="00345E81" w:rsidRPr="00345E81" w:rsidRDefault="00345E81" w:rsidP="00345E81">
            <w:pPr>
              <w:rPr>
                <w:color w:val="000000"/>
                <w:sz w:val="18"/>
                <w:szCs w:val="18"/>
                <w:lang w:val="en-US"/>
              </w:rPr>
            </w:pPr>
            <w:r w:rsidRPr="00345E81">
              <w:rPr>
                <w:color w:val="000000"/>
                <w:sz w:val="18"/>
                <w:szCs w:val="18"/>
                <w:lang w:val="en-US"/>
              </w:rPr>
              <w:t xml:space="preserve">• </w:t>
            </w:r>
            <w:r w:rsidR="00957653">
              <w:rPr>
                <w:color w:val="000000"/>
                <w:sz w:val="18"/>
                <w:szCs w:val="18"/>
                <w:lang w:val="en-US"/>
              </w:rPr>
              <w:t xml:space="preserve">inflammation of the </w:t>
            </w:r>
            <w:r w:rsidRPr="00345E81">
              <w:rPr>
                <w:color w:val="000000"/>
                <w:sz w:val="18"/>
                <w:szCs w:val="18"/>
                <w:lang w:val="en-US"/>
              </w:rPr>
              <w:t xml:space="preserve">pump </w:t>
            </w:r>
            <w:r w:rsidR="00957653">
              <w:rPr>
                <w:color w:val="000000"/>
                <w:sz w:val="18"/>
                <w:szCs w:val="18"/>
                <w:lang w:val="en-US"/>
              </w:rPr>
              <w:t xml:space="preserve">at the </w:t>
            </w:r>
            <w:r w:rsidRPr="00345E81">
              <w:rPr>
                <w:color w:val="000000"/>
                <w:sz w:val="18"/>
                <w:szCs w:val="18"/>
                <w:lang w:val="en-US"/>
              </w:rPr>
              <w:t xml:space="preserve">installation of primary oil refining in LLP </w:t>
            </w:r>
            <w:r w:rsidR="00EF2F67">
              <w:rPr>
                <w:color w:val="000000"/>
                <w:sz w:val="18"/>
                <w:szCs w:val="18"/>
                <w:lang w:val="en-US"/>
              </w:rPr>
              <w:t>«</w:t>
            </w:r>
            <w:r w:rsidRPr="00345E81">
              <w:rPr>
                <w:color w:val="000000"/>
                <w:sz w:val="18"/>
                <w:szCs w:val="18"/>
                <w:lang w:val="en-US"/>
              </w:rPr>
              <w:t>Atyrau Refinery</w:t>
            </w:r>
            <w:r w:rsidR="00EF2F67">
              <w:rPr>
                <w:color w:val="000000"/>
                <w:sz w:val="18"/>
                <w:szCs w:val="18"/>
                <w:lang w:val="en-US"/>
              </w:rPr>
              <w:t>»</w:t>
            </w:r>
            <w:r w:rsidRPr="00345E81">
              <w:rPr>
                <w:color w:val="000000"/>
                <w:sz w:val="18"/>
                <w:szCs w:val="18"/>
                <w:lang w:val="en-US"/>
              </w:rPr>
              <w:t>;</w:t>
            </w:r>
          </w:p>
          <w:p w:rsidR="00617070" w:rsidRPr="00345E81" w:rsidRDefault="00345E81" w:rsidP="00345E81">
            <w:pPr>
              <w:rPr>
                <w:color w:val="000000"/>
                <w:sz w:val="18"/>
                <w:szCs w:val="18"/>
                <w:lang w:val="en-US"/>
              </w:rPr>
            </w:pPr>
            <w:r w:rsidRPr="00345E81">
              <w:rPr>
                <w:color w:val="000000"/>
                <w:sz w:val="18"/>
                <w:szCs w:val="18"/>
                <w:lang w:val="en-US"/>
              </w:rPr>
              <w:t xml:space="preserve">• </w:t>
            </w:r>
            <w:r w:rsidR="00957653">
              <w:rPr>
                <w:color w:val="000000"/>
                <w:sz w:val="18"/>
                <w:szCs w:val="18"/>
                <w:lang w:val="en-US"/>
              </w:rPr>
              <w:t xml:space="preserve">inflammation </w:t>
            </w:r>
            <w:r w:rsidRPr="00345E81">
              <w:rPr>
                <w:color w:val="000000"/>
                <w:sz w:val="18"/>
                <w:szCs w:val="18"/>
                <w:lang w:val="en-US"/>
              </w:rPr>
              <w:t xml:space="preserve">in stock </w:t>
            </w:r>
            <w:r w:rsidR="00957653">
              <w:rPr>
                <w:color w:val="000000"/>
                <w:sz w:val="18"/>
                <w:szCs w:val="18"/>
                <w:lang w:val="en-US"/>
              </w:rPr>
              <w:t xml:space="preserve">of </w:t>
            </w:r>
            <w:r w:rsidRPr="00345E81">
              <w:rPr>
                <w:color w:val="000000"/>
                <w:sz w:val="18"/>
                <w:szCs w:val="18"/>
                <w:lang w:val="en-US"/>
              </w:rPr>
              <w:t xml:space="preserve">JSC </w:t>
            </w:r>
            <w:r w:rsidR="00EF2F67">
              <w:rPr>
                <w:color w:val="000000"/>
                <w:sz w:val="18"/>
                <w:szCs w:val="18"/>
                <w:lang w:val="en-US"/>
              </w:rPr>
              <w:t>«</w:t>
            </w:r>
            <w:r w:rsidRPr="00345E81">
              <w:rPr>
                <w:color w:val="000000"/>
                <w:sz w:val="18"/>
                <w:szCs w:val="18"/>
                <w:lang w:val="en-US"/>
              </w:rPr>
              <w:t>MMG</w:t>
            </w:r>
            <w:r w:rsidR="00EF2F67">
              <w:rPr>
                <w:color w:val="000000"/>
                <w:sz w:val="18"/>
                <w:szCs w:val="18"/>
                <w:lang w:val="en-US"/>
              </w:rPr>
              <w:t>»</w:t>
            </w:r>
          </w:p>
        </w:tc>
      </w:tr>
      <w:tr w:rsidR="00617070" w:rsidRPr="00353DB4" w:rsidTr="00D218AD">
        <w:trPr>
          <w:trHeight w:val="3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070" w:rsidRPr="00471013" w:rsidRDefault="00617070" w:rsidP="00770BC8">
            <w:pPr>
              <w:rPr>
                <w:color w:val="000000"/>
                <w:sz w:val="18"/>
                <w:szCs w:val="18"/>
                <w:lang w:val="en-US"/>
              </w:rPr>
            </w:pPr>
            <w:r>
              <w:rPr>
                <w:color w:val="000000"/>
                <w:sz w:val="18"/>
                <w:szCs w:val="18"/>
                <w:lang w:val="en-US"/>
              </w:rPr>
              <w:t>Average headcount</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617070" w:rsidRPr="00471013" w:rsidRDefault="00617070" w:rsidP="00770BC8">
            <w:pPr>
              <w:rPr>
                <w:color w:val="000000"/>
                <w:sz w:val="18"/>
                <w:szCs w:val="18"/>
              </w:rPr>
            </w:pPr>
            <w:proofErr w:type="spellStart"/>
            <w:proofErr w:type="gramStart"/>
            <w:r>
              <w:rPr>
                <w:color w:val="000000"/>
                <w:sz w:val="18"/>
                <w:szCs w:val="18"/>
                <w:lang w:val="en-US"/>
              </w:rPr>
              <w:t>thous</w:t>
            </w:r>
            <w:proofErr w:type="spellEnd"/>
            <w:proofErr w:type="gramEnd"/>
            <w:r w:rsidRPr="00471013">
              <w:rPr>
                <w:color w:val="000000"/>
                <w:sz w:val="18"/>
                <w:szCs w:val="18"/>
              </w:rPr>
              <w:t xml:space="preserve">. </w:t>
            </w:r>
            <w:r>
              <w:rPr>
                <w:color w:val="000000"/>
                <w:sz w:val="18"/>
                <w:szCs w:val="18"/>
                <w:lang w:val="en-US"/>
              </w:rPr>
              <w:t>people</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84,0</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63,7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17070" w:rsidRPr="00F57E69" w:rsidRDefault="00617070" w:rsidP="002157BC">
            <w:pPr>
              <w:tabs>
                <w:tab w:val="left" w:pos="426"/>
              </w:tabs>
              <w:autoSpaceDE w:val="0"/>
              <w:autoSpaceDN w:val="0"/>
              <w:adjustRightInd w:val="0"/>
              <w:jc w:val="center"/>
              <w:rPr>
                <w:rStyle w:val="apple-style-span"/>
                <w:sz w:val="18"/>
                <w:szCs w:val="18"/>
                <w:shd w:val="clear" w:color="auto" w:fill="FFFFFF"/>
              </w:rPr>
            </w:pPr>
            <w:r w:rsidRPr="00F57E69">
              <w:rPr>
                <w:rStyle w:val="apple-style-span"/>
                <w:sz w:val="18"/>
                <w:szCs w:val="18"/>
                <w:shd w:val="clear" w:color="auto" w:fill="FFFFFF"/>
              </w:rPr>
              <w:t>132%</w:t>
            </w:r>
          </w:p>
        </w:tc>
        <w:tc>
          <w:tcPr>
            <w:tcW w:w="3796" w:type="dxa"/>
            <w:tcBorders>
              <w:top w:val="single" w:sz="4" w:space="0" w:color="auto"/>
              <w:left w:val="nil"/>
              <w:bottom w:val="single" w:sz="4" w:space="0" w:color="auto"/>
              <w:right w:val="single" w:sz="4" w:space="0" w:color="auto"/>
            </w:tcBorders>
            <w:vAlign w:val="center"/>
          </w:tcPr>
          <w:p w:rsidR="002157BC" w:rsidRPr="002157BC" w:rsidRDefault="002157BC" w:rsidP="00C32D76">
            <w:pPr>
              <w:rPr>
                <w:b/>
                <w:sz w:val="18"/>
                <w:szCs w:val="18"/>
                <w:lang w:val="en-US"/>
              </w:rPr>
            </w:pPr>
            <w:r>
              <w:rPr>
                <w:b/>
                <w:sz w:val="18"/>
                <w:szCs w:val="18"/>
                <w:lang w:val="en-US"/>
              </w:rPr>
              <w:t>Increase</w:t>
            </w:r>
          </w:p>
          <w:p w:rsidR="00C32D76" w:rsidRPr="00C32D76" w:rsidRDefault="00C32D76" w:rsidP="00C32D76">
            <w:pPr>
              <w:rPr>
                <w:color w:val="000000"/>
                <w:sz w:val="18"/>
                <w:szCs w:val="18"/>
                <w:lang w:val="en-US"/>
              </w:rPr>
            </w:pPr>
            <w:r w:rsidRPr="00C32D76">
              <w:rPr>
                <w:color w:val="000000"/>
                <w:sz w:val="18"/>
                <w:szCs w:val="18"/>
                <w:lang w:val="en-US"/>
              </w:rPr>
              <w:t>• Increased consolidation peri</w:t>
            </w:r>
            <w:r>
              <w:rPr>
                <w:color w:val="000000"/>
                <w:sz w:val="18"/>
                <w:szCs w:val="18"/>
                <w:lang w:val="en-US"/>
              </w:rPr>
              <w:t xml:space="preserve">meter (LLP </w:t>
            </w:r>
            <w:r w:rsidR="00EF2F67">
              <w:rPr>
                <w:color w:val="000000"/>
                <w:sz w:val="18"/>
                <w:szCs w:val="18"/>
                <w:lang w:val="en-US"/>
              </w:rPr>
              <w:t>«</w:t>
            </w:r>
            <w:r>
              <w:rPr>
                <w:color w:val="000000"/>
                <w:sz w:val="18"/>
                <w:szCs w:val="18"/>
                <w:lang w:val="en-US"/>
              </w:rPr>
              <w:t>Semser Security</w:t>
            </w:r>
            <w:r w:rsidR="00EF2F67">
              <w:rPr>
                <w:color w:val="000000"/>
                <w:sz w:val="18"/>
                <w:szCs w:val="18"/>
                <w:lang w:val="en-US"/>
              </w:rPr>
              <w:t>»</w:t>
            </w:r>
            <w:r>
              <w:rPr>
                <w:color w:val="000000"/>
                <w:sz w:val="18"/>
                <w:szCs w:val="18"/>
                <w:lang w:val="en-US"/>
              </w:rPr>
              <w:t xml:space="preserve"> - increase in t</w:t>
            </w:r>
            <w:r w:rsidRPr="00C32D76">
              <w:rPr>
                <w:color w:val="000000"/>
                <w:sz w:val="18"/>
                <w:szCs w:val="18"/>
                <w:lang w:val="en-US"/>
              </w:rPr>
              <w:t>hreshold of materiality);</w:t>
            </w:r>
          </w:p>
          <w:p w:rsidR="00C32D76" w:rsidRPr="00C32D76" w:rsidRDefault="00C32D76" w:rsidP="00C32D76">
            <w:pPr>
              <w:rPr>
                <w:color w:val="000000"/>
                <w:sz w:val="18"/>
                <w:szCs w:val="18"/>
                <w:lang w:val="en-US"/>
              </w:rPr>
            </w:pPr>
            <w:r w:rsidRPr="00C32D76">
              <w:rPr>
                <w:color w:val="000000"/>
                <w:sz w:val="18"/>
                <w:szCs w:val="18"/>
                <w:lang w:val="en-US"/>
              </w:rPr>
              <w:t xml:space="preserve">• </w:t>
            </w:r>
            <w:r>
              <w:rPr>
                <w:color w:val="000000"/>
                <w:sz w:val="18"/>
                <w:szCs w:val="18"/>
                <w:lang w:val="en-US"/>
              </w:rPr>
              <w:t>“</w:t>
            </w:r>
            <w:proofErr w:type="spellStart"/>
            <w:r w:rsidRPr="00C32D76">
              <w:rPr>
                <w:color w:val="000000"/>
                <w:sz w:val="18"/>
                <w:szCs w:val="18"/>
                <w:lang w:val="en-US"/>
              </w:rPr>
              <w:t>AktauNefteServis</w:t>
            </w:r>
            <w:proofErr w:type="spellEnd"/>
            <w:r>
              <w:rPr>
                <w:color w:val="000000"/>
                <w:sz w:val="18"/>
                <w:szCs w:val="18"/>
                <w:lang w:val="en-US"/>
              </w:rPr>
              <w:t>” LLP</w:t>
            </w:r>
            <w:r w:rsidRPr="00C32D76">
              <w:rPr>
                <w:color w:val="000000"/>
                <w:sz w:val="18"/>
                <w:szCs w:val="18"/>
                <w:lang w:val="en-US"/>
              </w:rPr>
              <w:t xml:space="preserve"> - the acquisition of asset</w:t>
            </w:r>
            <w:r>
              <w:rPr>
                <w:color w:val="000000"/>
                <w:sz w:val="18"/>
                <w:szCs w:val="18"/>
                <w:lang w:val="en-US"/>
              </w:rPr>
              <w:t>s at the end of 2011</w:t>
            </w:r>
            <w:r w:rsidRPr="00C32D76">
              <w:rPr>
                <w:color w:val="000000"/>
                <w:sz w:val="18"/>
                <w:szCs w:val="18"/>
                <w:lang w:val="en-US"/>
              </w:rPr>
              <w:t>;</w:t>
            </w:r>
          </w:p>
          <w:p w:rsidR="00617070" w:rsidRPr="00C32D76" w:rsidRDefault="00C32D76" w:rsidP="002157BC">
            <w:pPr>
              <w:rPr>
                <w:color w:val="000000"/>
                <w:sz w:val="18"/>
                <w:szCs w:val="18"/>
                <w:lang w:val="en-US"/>
              </w:rPr>
            </w:pPr>
            <w:r w:rsidRPr="00C32D76">
              <w:rPr>
                <w:color w:val="000000"/>
                <w:sz w:val="18"/>
                <w:szCs w:val="18"/>
                <w:lang w:val="en-US"/>
              </w:rPr>
              <w:t xml:space="preserve">• Creating two LLP </w:t>
            </w:r>
            <w:r>
              <w:rPr>
                <w:color w:val="000000"/>
                <w:sz w:val="18"/>
                <w:szCs w:val="18"/>
                <w:lang w:val="en-US"/>
              </w:rPr>
              <w:t xml:space="preserve">in </w:t>
            </w:r>
            <w:r w:rsidRPr="00C32D76">
              <w:rPr>
                <w:color w:val="000000"/>
                <w:sz w:val="18"/>
                <w:szCs w:val="18"/>
                <w:lang w:val="en-US"/>
              </w:rPr>
              <w:t>EP KMG</w:t>
            </w:r>
            <w:r>
              <w:rPr>
                <w:color w:val="000000"/>
                <w:sz w:val="18"/>
                <w:szCs w:val="18"/>
                <w:lang w:val="en-US"/>
              </w:rPr>
              <w:t xml:space="preserve"> </w:t>
            </w:r>
            <w:r w:rsidRPr="00C32D76">
              <w:rPr>
                <w:color w:val="000000"/>
                <w:sz w:val="18"/>
                <w:szCs w:val="18"/>
                <w:lang w:val="en-US"/>
              </w:rPr>
              <w:t>as part of activities undertaken to eas</w:t>
            </w:r>
            <w:r w:rsidR="002157BC">
              <w:rPr>
                <w:color w:val="000000"/>
                <w:sz w:val="18"/>
                <w:szCs w:val="18"/>
                <w:lang w:val="en-US"/>
              </w:rPr>
              <w:t xml:space="preserve">e social tensions in </w:t>
            </w:r>
            <w:proofErr w:type="spellStart"/>
            <w:r w:rsidR="002157BC">
              <w:rPr>
                <w:color w:val="000000"/>
                <w:sz w:val="18"/>
                <w:szCs w:val="18"/>
                <w:lang w:val="en-US"/>
              </w:rPr>
              <w:t>Zhanaozen</w:t>
            </w:r>
            <w:proofErr w:type="spellEnd"/>
            <w:r w:rsidR="002157BC">
              <w:rPr>
                <w:color w:val="000000"/>
                <w:sz w:val="18"/>
                <w:szCs w:val="18"/>
                <w:lang w:val="en-US"/>
              </w:rPr>
              <w:t xml:space="preserve">/ </w:t>
            </w:r>
          </w:p>
        </w:tc>
      </w:tr>
    </w:tbl>
    <w:p w:rsidR="002664E4" w:rsidRPr="004F620B" w:rsidRDefault="002664E4" w:rsidP="002664E4">
      <w:pPr>
        <w:tabs>
          <w:tab w:val="left" w:pos="426"/>
        </w:tabs>
        <w:autoSpaceDE w:val="0"/>
        <w:autoSpaceDN w:val="0"/>
        <w:adjustRightInd w:val="0"/>
        <w:ind w:left="-709" w:firstLine="709"/>
        <w:jc w:val="both"/>
        <w:rPr>
          <w:rStyle w:val="apple-style-span"/>
          <w:color w:val="FF0000"/>
          <w:sz w:val="18"/>
          <w:szCs w:val="18"/>
          <w:shd w:val="clear" w:color="auto" w:fill="FFFFFF"/>
          <w:lang w:val="en-US"/>
        </w:rPr>
      </w:pPr>
      <w:r w:rsidRPr="004F620B">
        <w:rPr>
          <w:rStyle w:val="apple-style-span"/>
          <w:sz w:val="18"/>
          <w:szCs w:val="18"/>
          <w:shd w:val="clear" w:color="auto" w:fill="FFFFFF"/>
          <w:lang w:val="en-US"/>
        </w:rPr>
        <w:t xml:space="preserve"> </w:t>
      </w:r>
    </w:p>
    <w:p w:rsidR="002664E4" w:rsidRPr="004F620B" w:rsidRDefault="002664E4" w:rsidP="002664E4">
      <w:pPr>
        <w:tabs>
          <w:tab w:val="left" w:pos="426"/>
        </w:tabs>
        <w:autoSpaceDE w:val="0"/>
        <w:autoSpaceDN w:val="0"/>
        <w:adjustRightInd w:val="0"/>
        <w:ind w:left="-709" w:firstLine="709"/>
        <w:jc w:val="both"/>
        <w:rPr>
          <w:rStyle w:val="apple-style-span"/>
          <w:color w:val="FF0000"/>
          <w:sz w:val="18"/>
          <w:szCs w:val="18"/>
          <w:shd w:val="clear" w:color="auto" w:fill="FFFFFF"/>
          <w:lang w:val="en-US"/>
        </w:rPr>
      </w:pPr>
    </w:p>
    <w:p w:rsidR="002664E4" w:rsidRPr="00334790" w:rsidRDefault="00896592"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main</w:t>
      </w:r>
      <w:r w:rsidR="002664E4" w:rsidRPr="008252D9">
        <w:rPr>
          <w:rStyle w:val="apple-style-span"/>
          <w:sz w:val="22"/>
          <w:szCs w:val="22"/>
          <w:shd w:val="clear" w:color="auto" w:fill="FFFFFF"/>
          <w:lang w:val="en-US"/>
        </w:rPr>
        <w:t xml:space="preserve"> </w:t>
      </w:r>
      <w:r w:rsidR="005F20BF" w:rsidRPr="008252D9">
        <w:rPr>
          <w:rStyle w:val="apple-style-span"/>
          <w:sz w:val="22"/>
          <w:szCs w:val="22"/>
          <w:shd w:val="clear" w:color="auto" w:fill="FFFFFF"/>
          <w:lang w:val="en-US"/>
        </w:rPr>
        <w:t xml:space="preserve">factors </w:t>
      </w:r>
      <w:r w:rsidR="005F20BF">
        <w:rPr>
          <w:rStyle w:val="apple-style-span"/>
          <w:sz w:val="22"/>
          <w:szCs w:val="22"/>
          <w:shd w:val="clear" w:color="auto" w:fill="FFFFFF"/>
          <w:lang w:val="en-US"/>
        </w:rPr>
        <w:t xml:space="preserve">of changing of </w:t>
      </w:r>
      <w:r w:rsidR="005F20BF" w:rsidRPr="008F0881">
        <w:rPr>
          <w:rStyle w:val="apple-style-span"/>
          <w:b/>
          <w:i/>
          <w:sz w:val="22"/>
          <w:szCs w:val="22"/>
          <w:shd w:val="clear" w:color="auto" w:fill="FFFFFF"/>
          <w:lang w:val="en-US"/>
        </w:rPr>
        <w:t>net income</w:t>
      </w:r>
      <w:r w:rsidR="005F20BF">
        <w:rPr>
          <w:rStyle w:val="apple-style-span"/>
          <w:sz w:val="22"/>
          <w:szCs w:val="22"/>
          <w:shd w:val="clear" w:color="auto" w:fill="FFFFFF"/>
          <w:lang w:val="en-US"/>
        </w:rPr>
        <w:t xml:space="preserve"> on this segment in H1 2012 as compared to H1 2011 are</w:t>
      </w:r>
      <w:r w:rsidR="002664E4">
        <w:rPr>
          <w:rStyle w:val="apple-style-span"/>
          <w:sz w:val="22"/>
          <w:szCs w:val="22"/>
          <w:shd w:val="clear" w:color="auto" w:fill="FFFFFF"/>
          <w:lang w:val="en-US"/>
        </w:rPr>
        <w:t xml:space="preserve"> given below.</w:t>
      </w:r>
      <w:r w:rsidR="002664E4" w:rsidRPr="00AD1ED2">
        <w:rPr>
          <w:rStyle w:val="apple-style-span"/>
          <w:sz w:val="22"/>
          <w:szCs w:val="22"/>
          <w:shd w:val="clear" w:color="auto" w:fill="FFFFFF"/>
          <w:lang w:val="en-US"/>
        </w:rPr>
        <w:t xml:space="preserve"> </w:t>
      </w:r>
    </w:p>
    <w:p w:rsidR="00344B3E" w:rsidRPr="00334790" w:rsidRDefault="00344B3E" w:rsidP="002664E4">
      <w:pPr>
        <w:tabs>
          <w:tab w:val="left" w:pos="426"/>
        </w:tabs>
        <w:autoSpaceDE w:val="0"/>
        <w:autoSpaceDN w:val="0"/>
        <w:adjustRightInd w:val="0"/>
        <w:ind w:left="-709" w:firstLine="709"/>
        <w:jc w:val="both"/>
        <w:rPr>
          <w:rStyle w:val="apple-style-span"/>
          <w:sz w:val="22"/>
          <w:szCs w:val="22"/>
          <w:shd w:val="clear" w:color="auto" w:fill="FFFFFF"/>
          <w:lang w:val="en-US"/>
        </w:rPr>
      </w:pPr>
    </w:p>
    <w:tbl>
      <w:tblPr>
        <w:tblW w:w="10206" w:type="dxa"/>
        <w:tblInd w:w="-843" w:type="dxa"/>
        <w:tblLook w:val="04A0" w:firstRow="1" w:lastRow="0" w:firstColumn="1" w:lastColumn="0" w:noHBand="0" w:noVBand="1"/>
      </w:tblPr>
      <w:tblGrid>
        <w:gridCol w:w="8931"/>
        <w:gridCol w:w="1275"/>
      </w:tblGrid>
      <w:tr w:rsidR="002664E4" w:rsidRPr="00683E59" w:rsidTr="0025710C">
        <w:trPr>
          <w:trHeight w:val="510"/>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AD1ED2" w:rsidRDefault="002664E4" w:rsidP="00770BC8">
            <w:pPr>
              <w:jc w:val="center"/>
              <w:rPr>
                <w:b/>
                <w:bCs/>
                <w:sz w:val="18"/>
                <w:szCs w:val="18"/>
                <w:lang w:val="en-US"/>
              </w:rPr>
            </w:pPr>
            <w:r>
              <w:rPr>
                <w:b/>
                <w:bCs/>
                <w:sz w:val="18"/>
                <w:szCs w:val="18"/>
                <w:lang w:val="en-US"/>
              </w:rPr>
              <w:t xml:space="preserve">Factors </w:t>
            </w:r>
          </w:p>
        </w:tc>
        <w:tc>
          <w:tcPr>
            <w:tcW w:w="1275" w:type="dxa"/>
            <w:tcBorders>
              <w:top w:val="single" w:sz="4" w:space="0" w:color="auto"/>
              <w:left w:val="nil"/>
              <w:bottom w:val="single" w:sz="4" w:space="0" w:color="auto"/>
              <w:right w:val="single" w:sz="4" w:space="0" w:color="auto"/>
            </w:tcBorders>
            <w:vAlign w:val="center"/>
          </w:tcPr>
          <w:p w:rsidR="002664E4" w:rsidRPr="00846BB6" w:rsidRDefault="002664E4" w:rsidP="00770BC8">
            <w:pPr>
              <w:jc w:val="center"/>
              <w:rPr>
                <w:b/>
                <w:bCs/>
                <w:sz w:val="18"/>
                <w:szCs w:val="18"/>
              </w:rPr>
            </w:pPr>
            <w:r>
              <w:rPr>
                <w:rFonts w:eastAsia="Calibri"/>
                <w:b/>
                <w:bCs/>
                <w:color w:val="000000"/>
                <w:sz w:val="18"/>
                <w:szCs w:val="18"/>
                <w:lang w:val="en-US"/>
              </w:rPr>
              <w:t>Change</w:t>
            </w:r>
            <w:r w:rsidRPr="009F457C">
              <w:rPr>
                <w:b/>
                <w:bCs/>
                <w:sz w:val="18"/>
                <w:szCs w:val="18"/>
              </w:rPr>
              <w:t xml:space="preserve">, </w:t>
            </w:r>
            <w:r>
              <w:rPr>
                <w:b/>
                <w:bCs/>
                <w:sz w:val="18"/>
                <w:szCs w:val="18"/>
                <w:lang w:val="en-US"/>
              </w:rPr>
              <w:t>KZT billion</w:t>
            </w:r>
          </w:p>
        </w:tc>
      </w:tr>
      <w:tr w:rsidR="00862DAA" w:rsidRPr="00683E59" w:rsidTr="0025710C">
        <w:trPr>
          <w:trHeight w:val="251"/>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401911" w:rsidRDefault="00862DAA" w:rsidP="00C457DC">
            <w:pPr>
              <w:rPr>
                <w:b/>
                <w:color w:val="000000"/>
                <w:sz w:val="18"/>
                <w:szCs w:val="18"/>
                <w:lang w:val="en-US"/>
              </w:rPr>
            </w:pPr>
            <w:r>
              <w:rPr>
                <w:b/>
                <w:color w:val="000000"/>
                <w:sz w:val="18"/>
                <w:szCs w:val="18"/>
                <w:lang w:val="en-US"/>
              </w:rPr>
              <w:t>Net income</w:t>
            </w:r>
            <w:r w:rsidRPr="00401911">
              <w:rPr>
                <w:b/>
                <w:color w:val="000000"/>
                <w:sz w:val="18"/>
                <w:szCs w:val="18"/>
                <w:lang w:val="en-US"/>
              </w:rPr>
              <w:t xml:space="preserve"> </w:t>
            </w:r>
            <w:r w:rsidRPr="00896592">
              <w:rPr>
                <w:b/>
                <w:color w:val="000000"/>
                <w:sz w:val="18"/>
                <w:szCs w:val="18"/>
                <w:lang w:val="en-US"/>
              </w:rPr>
              <w:t>(</w:t>
            </w:r>
            <w:r>
              <w:rPr>
                <w:b/>
                <w:color w:val="000000"/>
                <w:sz w:val="18"/>
                <w:szCs w:val="18"/>
                <w:lang w:val="en-US"/>
              </w:rPr>
              <w:t xml:space="preserve">KZT </w:t>
            </w:r>
            <w:r w:rsidRPr="00896592">
              <w:rPr>
                <w:b/>
                <w:color w:val="000000"/>
                <w:sz w:val="18"/>
                <w:szCs w:val="18"/>
                <w:lang w:val="en-US"/>
              </w:rPr>
              <w:t xml:space="preserve">277.8 billion for the </w:t>
            </w:r>
            <w:r>
              <w:rPr>
                <w:b/>
                <w:color w:val="000000"/>
                <w:sz w:val="18"/>
                <w:szCs w:val="18"/>
                <w:lang w:val="en-US"/>
              </w:rPr>
              <w:t xml:space="preserve">reporting </w:t>
            </w:r>
            <w:r w:rsidRPr="00896592">
              <w:rPr>
                <w:b/>
                <w:color w:val="000000"/>
                <w:sz w:val="18"/>
                <w:szCs w:val="18"/>
                <w:lang w:val="en-US"/>
              </w:rPr>
              <w:t xml:space="preserve">period, </w:t>
            </w:r>
            <w:r>
              <w:rPr>
                <w:b/>
                <w:color w:val="000000"/>
                <w:sz w:val="18"/>
                <w:szCs w:val="18"/>
                <w:lang w:val="en-US"/>
              </w:rPr>
              <w:t xml:space="preserve">KZT </w:t>
            </w:r>
            <w:r w:rsidRPr="00896592">
              <w:rPr>
                <w:b/>
                <w:color w:val="000000"/>
                <w:sz w:val="18"/>
                <w:szCs w:val="18"/>
                <w:lang w:val="en-US"/>
              </w:rPr>
              <w:t>299.7 billion for the same period in 2011)</w:t>
            </w:r>
          </w:p>
        </w:tc>
        <w:tc>
          <w:tcPr>
            <w:tcW w:w="1275" w:type="dxa"/>
            <w:tcBorders>
              <w:top w:val="single" w:sz="4" w:space="0" w:color="auto"/>
              <w:left w:val="nil"/>
              <w:bottom w:val="single" w:sz="4" w:space="0" w:color="auto"/>
              <w:right w:val="single" w:sz="4" w:space="0" w:color="auto"/>
            </w:tcBorders>
            <w:vAlign w:val="center"/>
          </w:tcPr>
          <w:p w:rsidR="00862DAA" w:rsidRPr="00F44AD8" w:rsidRDefault="00862DAA" w:rsidP="00A7588C">
            <w:pPr>
              <w:jc w:val="center"/>
              <w:rPr>
                <w:b/>
                <w:bCs/>
                <w:sz w:val="18"/>
                <w:szCs w:val="18"/>
              </w:rPr>
            </w:pPr>
            <w:r>
              <w:rPr>
                <w:b/>
                <w:bCs/>
                <w:sz w:val="18"/>
                <w:szCs w:val="18"/>
              </w:rPr>
              <w:t>-22</w:t>
            </w:r>
          </w:p>
        </w:tc>
      </w:tr>
      <w:tr w:rsidR="00862DAA" w:rsidRPr="00683E59" w:rsidTr="0025710C">
        <w:trPr>
          <w:trHeight w:val="272"/>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401911" w:rsidRDefault="00862DAA" w:rsidP="00896592">
            <w:pPr>
              <w:rPr>
                <w:color w:val="000000"/>
                <w:sz w:val="18"/>
                <w:szCs w:val="18"/>
                <w:lang w:val="en-US"/>
              </w:rPr>
            </w:pPr>
            <w:r>
              <w:rPr>
                <w:b/>
                <w:color w:val="000000"/>
                <w:sz w:val="18"/>
                <w:szCs w:val="18"/>
                <w:lang w:val="en-US"/>
              </w:rPr>
              <w:t xml:space="preserve">Increase of sales volume of oil products by 2.1 </w:t>
            </w:r>
            <w:r w:rsidR="000A43AE">
              <w:rPr>
                <w:b/>
                <w:color w:val="000000"/>
                <w:sz w:val="18"/>
                <w:szCs w:val="18"/>
                <w:lang w:val="en-US"/>
              </w:rPr>
              <w:t>million</w:t>
            </w:r>
            <w:r>
              <w:rPr>
                <w:b/>
                <w:color w:val="000000"/>
                <w:sz w:val="18"/>
                <w:szCs w:val="18"/>
                <w:lang w:val="en-US"/>
              </w:rPr>
              <w:t xml:space="preserve"> tons and sales gas by 833 </w:t>
            </w:r>
            <w:r w:rsidR="000A43AE">
              <w:rPr>
                <w:b/>
                <w:color w:val="000000"/>
                <w:sz w:val="18"/>
                <w:szCs w:val="18"/>
                <w:lang w:val="en-US"/>
              </w:rPr>
              <w:t>million</w:t>
            </w:r>
            <w:r>
              <w:rPr>
                <w:b/>
                <w:color w:val="000000"/>
                <w:sz w:val="18"/>
                <w:szCs w:val="18"/>
                <w:lang w:val="en-US"/>
              </w:rPr>
              <w:t xml:space="preserve"> </w:t>
            </w:r>
            <w:proofErr w:type="spellStart"/>
            <w:r>
              <w:rPr>
                <w:b/>
                <w:color w:val="000000"/>
                <w:sz w:val="18"/>
                <w:szCs w:val="18"/>
                <w:lang w:val="en-US"/>
              </w:rPr>
              <w:t>cu.m</w:t>
            </w:r>
            <w:proofErr w:type="spellEnd"/>
            <w:r>
              <w:rPr>
                <w:b/>
                <w:color w:val="000000"/>
                <w:sz w:val="18"/>
                <w:szCs w:val="18"/>
                <w:lang w:val="en-US"/>
              </w:rPr>
              <w:t>.</w:t>
            </w:r>
          </w:p>
        </w:tc>
        <w:tc>
          <w:tcPr>
            <w:tcW w:w="1275" w:type="dxa"/>
            <w:tcBorders>
              <w:top w:val="single" w:sz="4" w:space="0" w:color="auto"/>
              <w:left w:val="nil"/>
              <w:bottom w:val="single" w:sz="4" w:space="0" w:color="auto"/>
              <w:right w:val="single" w:sz="4" w:space="0" w:color="auto"/>
            </w:tcBorders>
            <w:vAlign w:val="center"/>
          </w:tcPr>
          <w:p w:rsidR="00862DAA" w:rsidRPr="00206AF6" w:rsidRDefault="00862DAA" w:rsidP="00A7588C">
            <w:pPr>
              <w:jc w:val="center"/>
              <w:rPr>
                <w:sz w:val="18"/>
                <w:szCs w:val="18"/>
              </w:rPr>
            </w:pPr>
            <w:r w:rsidRPr="00206AF6">
              <w:rPr>
                <w:sz w:val="18"/>
                <w:szCs w:val="18"/>
              </w:rPr>
              <w:t>13</w:t>
            </w:r>
            <w:r>
              <w:rPr>
                <w:sz w:val="18"/>
                <w:szCs w:val="18"/>
              </w:rPr>
              <w:t>2</w:t>
            </w:r>
          </w:p>
        </w:tc>
      </w:tr>
      <w:tr w:rsidR="00862DAA" w:rsidRPr="00683E59" w:rsidTr="0025710C">
        <w:trPr>
          <w:trHeight w:val="419"/>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401911" w:rsidRDefault="00862DAA" w:rsidP="00E36B27">
            <w:pPr>
              <w:rPr>
                <w:sz w:val="18"/>
                <w:szCs w:val="18"/>
                <w:lang w:val="en-US"/>
              </w:rPr>
            </w:pPr>
            <w:r w:rsidRPr="00E36B27">
              <w:rPr>
                <w:rFonts w:eastAsiaTheme="majorEastAsia"/>
                <w:b/>
                <w:sz w:val="18"/>
                <w:szCs w:val="18"/>
                <w:lang w:val="en-US"/>
              </w:rPr>
              <w:t xml:space="preserve">Growth </w:t>
            </w:r>
            <w:r>
              <w:rPr>
                <w:rFonts w:eastAsiaTheme="majorEastAsia"/>
                <w:b/>
                <w:sz w:val="18"/>
                <w:szCs w:val="18"/>
                <w:lang w:val="en-US"/>
              </w:rPr>
              <w:t xml:space="preserve">of </w:t>
            </w:r>
            <w:r w:rsidRPr="00E36B27">
              <w:rPr>
                <w:rFonts w:eastAsiaTheme="majorEastAsia"/>
                <w:b/>
                <w:sz w:val="18"/>
                <w:szCs w:val="18"/>
                <w:lang w:val="en-US"/>
              </w:rPr>
              <w:t xml:space="preserve">mainly the average price of crude oil </w:t>
            </w:r>
            <w:r>
              <w:rPr>
                <w:rFonts w:eastAsiaTheme="majorEastAsia"/>
                <w:b/>
                <w:sz w:val="18"/>
                <w:szCs w:val="18"/>
                <w:lang w:val="en-US"/>
              </w:rPr>
              <w:t xml:space="preserve">for </w:t>
            </w:r>
            <w:r w:rsidRPr="00E36B27">
              <w:rPr>
                <w:rFonts w:eastAsiaTheme="majorEastAsia"/>
                <w:b/>
                <w:sz w:val="18"/>
                <w:szCs w:val="18"/>
                <w:lang w:val="en-US"/>
              </w:rPr>
              <w:t xml:space="preserve">export from </w:t>
            </w:r>
            <w:r w:rsidRPr="00E36B27">
              <w:rPr>
                <w:rFonts w:eastAsiaTheme="majorEastAsia"/>
                <w:sz w:val="18"/>
                <w:szCs w:val="18"/>
                <w:lang w:val="en-US"/>
              </w:rPr>
              <w:t>KZT 115.8 thousand per ton to KZT 122.4 thousand</w:t>
            </w:r>
            <w:r w:rsidRPr="00E36B27">
              <w:rPr>
                <w:rFonts w:eastAsiaTheme="majorEastAsia"/>
                <w:b/>
                <w:sz w:val="18"/>
                <w:szCs w:val="18"/>
                <w:lang w:val="en-US"/>
              </w:rPr>
              <w:t xml:space="preserve"> </w:t>
            </w:r>
          </w:p>
        </w:tc>
        <w:tc>
          <w:tcPr>
            <w:tcW w:w="1275" w:type="dxa"/>
            <w:tcBorders>
              <w:top w:val="single" w:sz="4" w:space="0" w:color="auto"/>
              <w:left w:val="nil"/>
              <w:bottom w:val="single" w:sz="4" w:space="0" w:color="auto"/>
              <w:right w:val="single" w:sz="4" w:space="0" w:color="auto"/>
            </w:tcBorders>
            <w:vAlign w:val="center"/>
          </w:tcPr>
          <w:p w:rsidR="00862DAA" w:rsidRPr="00206AF6" w:rsidRDefault="002E2475" w:rsidP="00A7588C">
            <w:pPr>
              <w:jc w:val="center"/>
              <w:rPr>
                <w:sz w:val="18"/>
                <w:szCs w:val="18"/>
              </w:rPr>
            </w:pPr>
            <w:r>
              <w:rPr>
                <w:sz w:val="18"/>
                <w:szCs w:val="18"/>
              </w:rPr>
              <w:t>30</w:t>
            </w:r>
          </w:p>
        </w:tc>
      </w:tr>
      <w:tr w:rsidR="00862DAA" w:rsidRPr="00683E59" w:rsidTr="0025710C">
        <w:trPr>
          <w:trHeight w:val="331"/>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401911" w:rsidRDefault="00862DAA" w:rsidP="00F55A93">
            <w:pPr>
              <w:rPr>
                <w:color w:val="000000"/>
                <w:sz w:val="18"/>
                <w:szCs w:val="18"/>
                <w:lang w:val="en-US"/>
              </w:rPr>
            </w:pPr>
            <w:r>
              <w:rPr>
                <w:b/>
                <w:iCs/>
                <w:color w:val="000000"/>
                <w:sz w:val="18"/>
                <w:szCs w:val="18"/>
                <w:lang w:val="en-US"/>
              </w:rPr>
              <w:t>Cut</w:t>
            </w:r>
            <w:r w:rsidRPr="00E36B27">
              <w:rPr>
                <w:b/>
                <w:iCs/>
                <w:color w:val="000000"/>
                <w:sz w:val="18"/>
                <w:szCs w:val="18"/>
                <w:lang w:val="en-US"/>
              </w:rPr>
              <w:t xml:space="preserve"> </w:t>
            </w:r>
            <w:r>
              <w:rPr>
                <w:b/>
                <w:iCs/>
                <w:color w:val="000000"/>
                <w:sz w:val="18"/>
                <w:szCs w:val="18"/>
                <w:lang w:val="en-US"/>
              </w:rPr>
              <w:t xml:space="preserve">of </w:t>
            </w:r>
            <w:r w:rsidRPr="00E36B27">
              <w:rPr>
                <w:b/>
                <w:iCs/>
                <w:color w:val="000000"/>
                <w:sz w:val="18"/>
                <w:szCs w:val="18"/>
                <w:lang w:val="en-US"/>
              </w:rPr>
              <w:t xml:space="preserve">rent tax and export customs duty </w:t>
            </w:r>
            <w:r w:rsidRPr="00E36B27">
              <w:rPr>
                <w:iCs/>
                <w:color w:val="000000"/>
                <w:sz w:val="18"/>
                <w:szCs w:val="18"/>
                <w:lang w:val="en-US"/>
              </w:rPr>
              <w:t>due to declining oil production by 290 thousand tons</w:t>
            </w:r>
          </w:p>
        </w:tc>
        <w:tc>
          <w:tcPr>
            <w:tcW w:w="1275" w:type="dxa"/>
            <w:tcBorders>
              <w:top w:val="single" w:sz="4" w:space="0" w:color="auto"/>
              <w:left w:val="nil"/>
              <w:bottom w:val="single" w:sz="4" w:space="0" w:color="auto"/>
              <w:right w:val="single" w:sz="4" w:space="0" w:color="auto"/>
            </w:tcBorders>
            <w:vAlign w:val="center"/>
          </w:tcPr>
          <w:p w:rsidR="00862DAA" w:rsidRPr="00206AF6" w:rsidRDefault="00862DAA" w:rsidP="00A7588C">
            <w:pPr>
              <w:jc w:val="center"/>
              <w:rPr>
                <w:sz w:val="18"/>
                <w:szCs w:val="18"/>
              </w:rPr>
            </w:pPr>
            <w:r w:rsidRPr="00206AF6">
              <w:rPr>
                <w:sz w:val="18"/>
                <w:szCs w:val="18"/>
              </w:rPr>
              <w:t>18</w:t>
            </w:r>
          </w:p>
        </w:tc>
      </w:tr>
      <w:tr w:rsidR="00862DAA" w:rsidRPr="00683E59" w:rsidTr="0025710C">
        <w:trPr>
          <w:trHeight w:val="279"/>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8C131A" w:rsidRDefault="00862DAA" w:rsidP="00E36B27">
            <w:pPr>
              <w:rPr>
                <w:sz w:val="18"/>
                <w:szCs w:val="18"/>
                <w:lang w:val="en-US"/>
              </w:rPr>
            </w:pPr>
            <w:r w:rsidRPr="00E36B27">
              <w:rPr>
                <w:rFonts w:eastAsiaTheme="majorEastAsia"/>
                <w:b/>
                <w:sz w:val="18"/>
                <w:szCs w:val="18"/>
                <w:lang w:val="en-US"/>
              </w:rPr>
              <w:t>Reduction of penalties and interest on taxes</w:t>
            </w:r>
            <w:r w:rsidRPr="00E36B27">
              <w:rPr>
                <w:rFonts w:eastAsiaTheme="majorEastAsia"/>
                <w:sz w:val="18"/>
                <w:szCs w:val="18"/>
                <w:lang w:val="en-US"/>
              </w:rPr>
              <w:t xml:space="preserve">. </w:t>
            </w:r>
            <w:r>
              <w:rPr>
                <w:rFonts w:eastAsiaTheme="majorEastAsia"/>
                <w:sz w:val="18"/>
                <w:szCs w:val="18"/>
                <w:lang w:val="en-US"/>
              </w:rPr>
              <w:t xml:space="preserve">In H1 </w:t>
            </w:r>
            <w:r w:rsidRPr="00E36B27">
              <w:rPr>
                <w:rFonts w:eastAsiaTheme="majorEastAsia"/>
                <w:sz w:val="18"/>
                <w:szCs w:val="18"/>
                <w:lang w:val="en-US"/>
              </w:rPr>
              <w:t xml:space="preserve">2011 environmental penalties for gas flaring and </w:t>
            </w:r>
            <w:r>
              <w:rPr>
                <w:rFonts w:eastAsiaTheme="majorEastAsia"/>
                <w:sz w:val="18"/>
                <w:szCs w:val="18"/>
                <w:lang w:val="en-US"/>
              </w:rPr>
              <w:t>export customs duties</w:t>
            </w:r>
            <w:r w:rsidRPr="00E36B27">
              <w:rPr>
                <w:rFonts w:eastAsiaTheme="majorEastAsia"/>
                <w:sz w:val="18"/>
                <w:szCs w:val="18"/>
                <w:lang w:val="en-US"/>
              </w:rPr>
              <w:t xml:space="preserve"> </w:t>
            </w:r>
            <w:r>
              <w:rPr>
                <w:rFonts w:eastAsiaTheme="majorEastAsia"/>
                <w:sz w:val="18"/>
                <w:szCs w:val="18"/>
                <w:lang w:val="en-US"/>
              </w:rPr>
              <w:t>on EP</w:t>
            </w:r>
            <w:r w:rsidRPr="00E36B27">
              <w:rPr>
                <w:rFonts w:eastAsiaTheme="majorEastAsia"/>
                <w:sz w:val="18"/>
                <w:szCs w:val="18"/>
                <w:lang w:val="en-US"/>
              </w:rPr>
              <w:t xml:space="preserve"> KMG</w:t>
            </w:r>
            <w:r>
              <w:rPr>
                <w:rFonts w:eastAsiaTheme="majorEastAsia"/>
                <w:sz w:val="18"/>
                <w:szCs w:val="18"/>
                <w:lang w:val="en-US"/>
              </w:rPr>
              <w:t xml:space="preserve"> were reflected</w:t>
            </w:r>
          </w:p>
        </w:tc>
        <w:tc>
          <w:tcPr>
            <w:tcW w:w="1275" w:type="dxa"/>
            <w:tcBorders>
              <w:top w:val="single" w:sz="4" w:space="0" w:color="auto"/>
              <w:left w:val="nil"/>
              <w:bottom w:val="single" w:sz="4" w:space="0" w:color="auto"/>
              <w:right w:val="single" w:sz="4" w:space="0" w:color="auto"/>
            </w:tcBorders>
            <w:vAlign w:val="center"/>
          </w:tcPr>
          <w:p w:rsidR="00862DAA" w:rsidRPr="00882125" w:rsidRDefault="00862DAA" w:rsidP="00A7588C">
            <w:pPr>
              <w:jc w:val="center"/>
              <w:rPr>
                <w:sz w:val="18"/>
                <w:szCs w:val="18"/>
              </w:rPr>
            </w:pPr>
            <w:r>
              <w:rPr>
                <w:sz w:val="18"/>
                <w:szCs w:val="18"/>
              </w:rPr>
              <w:t>8</w:t>
            </w:r>
          </w:p>
        </w:tc>
      </w:tr>
      <w:tr w:rsidR="00862DAA" w:rsidRPr="00683E59" w:rsidTr="0025710C">
        <w:trPr>
          <w:trHeight w:val="270"/>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EF22FA" w:rsidRDefault="00862DAA" w:rsidP="00E36B27">
            <w:pPr>
              <w:rPr>
                <w:color w:val="000000"/>
                <w:sz w:val="18"/>
                <w:szCs w:val="18"/>
                <w:lang w:val="en-US"/>
              </w:rPr>
            </w:pPr>
            <w:r w:rsidRPr="00C43F6C">
              <w:rPr>
                <w:rFonts w:eastAsiaTheme="majorEastAsia"/>
                <w:b/>
                <w:sz w:val="18"/>
                <w:szCs w:val="18"/>
                <w:lang w:val="en-US"/>
              </w:rPr>
              <w:t>Financial</w:t>
            </w:r>
            <w:r w:rsidRPr="00C43F6C">
              <w:rPr>
                <w:b/>
                <w:sz w:val="18"/>
                <w:szCs w:val="18"/>
                <w:lang w:val="en-US"/>
              </w:rPr>
              <w:t> </w:t>
            </w:r>
            <w:r w:rsidRPr="00C43F6C">
              <w:rPr>
                <w:rFonts w:eastAsiaTheme="majorEastAsia"/>
                <w:b/>
                <w:sz w:val="18"/>
                <w:szCs w:val="18"/>
                <w:lang w:val="en-US"/>
              </w:rPr>
              <w:t>costs</w:t>
            </w:r>
            <w:r>
              <w:rPr>
                <w:rFonts w:eastAsiaTheme="majorEastAsia"/>
                <w:sz w:val="18"/>
                <w:szCs w:val="18"/>
                <w:lang w:val="en-US"/>
              </w:rPr>
              <w:t>:</w:t>
            </w:r>
            <w:r w:rsidRPr="00C43F6C">
              <w:rPr>
                <w:rFonts w:eastAsiaTheme="majorEastAsia"/>
                <w:sz w:val="18"/>
                <w:szCs w:val="18"/>
                <w:lang w:val="en-US"/>
              </w:rPr>
              <w:t> </w:t>
            </w:r>
            <w:r>
              <w:rPr>
                <w:rFonts w:eastAsiaTheme="majorEastAsia"/>
                <w:sz w:val="18"/>
                <w:szCs w:val="18"/>
                <w:lang w:val="en-US"/>
              </w:rPr>
              <w:t>decrease in</w:t>
            </w:r>
            <w:r w:rsidRPr="00C43F6C">
              <w:rPr>
                <w:rFonts w:eastAsiaTheme="majorEastAsia"/>
                <w:sz w:val="18"/>
                <w:szCs w:val="18"/>
                <w:lang w:val="en-US"/>
              </w:rPr>
              <w:t xml:space="preserve"> interest</w:t>
            </w:r>
            <w:r w:rsidRPr="00C43F6C">
              <w:rPr>
                <w:sz w:val="18"/>
                <w:szCs w:val="18"/>
                <w:lang w:val="en-US"/>
              </w:rPr>
              <w:t> </w:t>
            </w:r>
            <w:r w:rsidRPr="00C43F6C">
              <w:rPr>
                <w:rFonts w:eastAsiaTheme="majorEastAsia"/>
                <w:sz w:val="18"/>
                <w:szCs w:val="18"/>
                <w:lang w:val="en-US"/>
              </w:rPr>
              <w:t>costs</w:t>
            </w:r>
            <w:r w:rsidRPr="00C43F6C">
              <w:rPr>
                <w:sz w:val="18"/>
                <w:szCs w:val="18"/>
                <w:lang w:val="en-US"/>
              </w:rPr>
              <w:t> </w:t>
            </w:r>
            <w:r w:rsidRPr="00C43F6C">
              <w:rPr>
                <w:rFonts w:eastAsiaTheme="majorEastAsia"/>
                <w:sz w:val="18"/>
                <w:szCs w:val="18"/>
                <w:lang w:val="en-US"/>
              </w:rPr>
              <w:t>on loans and</w:t>
            </w:r>
            <w:r>
              <w:rPr>
                <w:rFonts w:eastAsiaTheme="majorEastAsia"/>
                <w:sz w:val="18"/>
                <w:szCs w:val="18"/>
                <w:lang w:val="en-US"/>
              </w:rPr>
              <w:t xml:space="preserve"> </w:t>
            </w:r>
            <w:r w:rsidRPr="00C43F6C">
              <w:rPr>
                <w:rFonts w:eastAsiaTheme="majorEastAsia"/>
                <w:sz w:val="18"/>
                <w:szCs w:val="18"/>
                <w:lang w:val="en-US"/>
              </w:rPr>
              <w:t>bonds</w:t>
            </w:r>
            <w:r>
              <w:rPr>
                <w:b/>
                <w:iCs/>
                <w:color w:val="000000"/>
                <w:sz w:val="18"/>
                <w:szCs w:val="18"/>
                <w:lang w:val="en-US"/>
              </w:rPr>
              <w:t xml:space="preserve"> </w:t>
            </w:r>
          </w:p>
        </w:tc>
        <w:tc>
          <w:tcPr>
            <w:tcW w:w="1275" w:type="dxa"/>
            <w:tcBorders>
              <w:top w:val="single" w:sz="4" w:space="0" w:color="auto"/>
              <w:left w:val="nil"/>
              <w:bottom w:val="single" w:sz="4" w:space="0" w:color="auto"/>
              <w:right w:val="single" w:sz="4" w:space="0" w:color="auto"/>
            </w:tcBorders>
            <w:vAlign w:val="center"/>
          </w:tcPr>
          <w:p w:rsidR="00862DAA" w:rsidRPr="00206AF6" w:rsidRDefault="00862DAA" w:rsidP="00A7588C">
            <w:pPr>
              <w:jc w:val="center"/>
              <w:rPr>
                <w:sz w:val="18"/>
                <w:szCs w:val="18"/>
              </w:rPr>
            </w:pPr>
            <w:r w:rsidRPr="00206AF6">
              <w:rPr>
                <w:sz w:val="18"/>
                <w:szCs w:val="18"/>
              </w:rPr>
              <w:t>6</w:t>
            </w:r>
          </w:p>
        </w:tc>
      </w:tr>
      <w:tr w:rsidR="00862DAA" w:rsidRPr="002E2475" w:rsidTr="0025710C">
        <w:trPr>
          <w:trHeight w:val="434"/>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DAA" w:rsidRPr="00E36B27" w:rsidRDefault="00862DAA" w:rsidP="00E36B27">
            <w:pPr>
              <w:rPr>
                <w:b/>
                <w:sz w:val="18"/>
                <w:szCs w:val="18"/>
                <w:lang w:val="en-US"/>
              </w:rPr>
            </w:pPr>
            <w:r w:rsidRPr="00E36B27">
              <w:rPr>
                <w:b/>
                <w:sz w:val="18"/>
                <w:szCs w:val="18"/>
                <w:lang w:val="en-US"/>
              </w:rPr>
              <w:t>The increase in cost</w:t>
            </w:r>
            <w:r w:rsidR="009F0E44">
              <w:rPr>
                <w:b/>
                <w:color w:val="000000"/>
                <w:sz w:val="16"/>
                <w:szCs w:val="16"/>
                <w:lang w:val="en-US"/>
              </w:rPr>
              <w:t xml:space="preserve"> </w:t>
            </w:r>
            <w:r w:rsidR="009F0E44" w:rsidRPr="009F0E44">
              <w:rPr>
                <w:color w:val="000000"/>
                <w:sz w:val="16"/>
                <w:szCs w:val="16"/>
                <w:lang w:val="en-US"/>
              </w:rPr>
              <w:t>of mainly</w:t>
            </w:r>
            <w:r w:rsidRPr="009F0E44">
              <w:rPr>
                <w:sz w:val="18"/>
                <w:szCs w:val="18"/>
                <w:lang w:val="en-US"/>
              </w:rPr>
              <w:t>:</w:t>
            </w:r>
          </w:p>
          <w:p w:rsidR="00862DAA" w:rsidRPr="00E36B27" w:rsidRDefault="00862DAA" w:rsidP="00E36B27">
            <w:pPr>
              <w:rPr>
                <w:sz w:val="18"/>
                <w:szCs w:val="18"/>
                <w:lang w:val="en-US"/>
              </w:rPr>
            </w:pPr>
            <w:r w:rsidRPr="00E36B27">
              <w:rPr>
                <w:sz w:val="18"/>
                <w:szCs w:val="18"/>
                <w:lang w:val="en-US"/>
              </w:rPr>
              <w:t>- Wage growth of production personnel and related taxes (</w:t>
            </w:r>
            <w:r>
              <w:rPr>
                <w:sz w:val="18"/>
                <w:szCs w:val="18"/>
                <w:lang w:val="en-US"/>
              </w:rPr>
              <w:t>LCF</w:t>
            </w:r>
            <w:r w:rsidRPr="00E36B27">
              <w:rPr>
                <w:sz w:val="18"/>
                <w:szCs w:val="18"/>
                <w:lang w:val="en-US"/>
              </w:rPr>
              <w:t xml:space="preserve"> indexation, the increase</w:t>
            </w:r>
            <w:r>
              <w:rPr>
                <w:sz w:val="18"/>
                <w:szCs w:val="18"/>
                <w:lang w:val="en-US"/>
              </w:rPr>
              <w:t xml:space="preserve"> in staff</w:t>
            </w:r>
            <w:r w:rsidRPr="00E36B27">
              <w:rPr>
                <w:sz w:val="18"/>
                <w:szCs w:val="18"/>
                <w:lang w:val="en-US"/>
              </w:rPr>
              <w:t xml:space="preserve"> number due to </w:t>
            </w:r>
            <w:r>
              <w:rPr>
                <w:sz w:val="18"/>
                <w:szCs w:val="18"/>
                <w:lang w:val="en-US"/>
              </w:rPr>
              <w:t xml:space="preserve">creation of 2 </w:t>
            </w:r>
            <w:r w:rsidRPr="00E36B27">
              <w:rPr>
                <w:sz w:val="18"/>
                <w:szCs w:val="18"/>
                <w:lang w:val="en-US"/>
              </w:rPr>
              <w:t xml:space="preserve">business units in </w:t>
            </w:r>
            <w:r>
              <w:rPr>
                <w:sz w:val="18"/>
                <w:szCs w:val="18"/>
                <w:lang w:val="en-US"/>
              </w:rPr>
              <w:t>EP</w:t>
            </w:r>
            <w:r w:rsidRPr="00E36B27">
              <w:rPr>
                <w:sz w:val="18"/>
                <w:szCs w:val="18"/>
                <w:lang w:val="en-US"/>
              </w:rPr>
              <w:t xml:space="preserve"> KMG) </w:t>
            </w:r>
            <w:r>
              <w:rPr>
                <w:sz w:val="18"/>
                <w:szCs w:val="18"/>
                <w:lang w:val="en-US"/>
              </w:rPr>
              <w:t>by KZT</w:t>
            </w:r>
            <w:r w:rsidRPr="00E36B27">
              <w:rPr>
                <w:sz w:val="18"/>
                <w:szCs w:val="18"/>
                <w:lang w:val="en-US"/>
              </w:rPr>
              <w:t xml:space="preserve"> 2</w:t>
            </w:r>
            <w:r>
              <w:rPr>
                <w:sz w:val="18"/>
                <w:szCs w:val="18"/>
                <w:lang w:val="en-US"/>
              </w:rPr>
              <w:t>5.3 billion</w:t>
            </w:r>
            <w:r w:rsidRPr="00E36B27">
              <w:rPr>
                <w:sz w:val="18"/>
                <w:szCs w:val="18"/>
                <w:lang w:val="en-US"/>
              </w:rPr>
              <w:t>;</w:t>
            </w:r>
          </w:p>
          <w:p w:rsidR="00862DAA" w:rsidRPr="00C43F6C" w:rsidRDefault="00862DAA" w:rsidP="0009167A">
            <w:pPr>
              <w:rPr>
                <w:sz w:val="18"/>
                <w:szCs w:val="18"/>
                <w:lang w:val="en-US"/>
              </w:rPr>
            </w:pPr>
            <w:r w:rsidRPr="00E36B27">
              <w:rPr>
                <w:sz w:val="18"/>
                <w:szCs w:val="18"/>
                <w:lang w:val="en-US"/>
              </w:rPr>
              <w:t xml:space="preserve">- Appreciation for work and services (transport, electricity) and raw materials </w:t>
            </w:r>
            <w:r>
              <w:rPr>
                <w:sz w:val="18"/>
                <w:szCs w:val="18"/>
                <w:lang w:val="en-US"/>
              </w:rPr>
              <w:t>by KZT</w:t>
            </w:r>
            <w:r w:rsidRPr="00E36B27">
              <w:rPr>
                <w:sz w:val="18"/>
                <w:szCs w:val="18"/>
                <w:lang w:val="en-US"/>
              </w:rPr>
              <w:t xml:space="preserve"> </w:t>
            </w:r>
            <w:r w:rsidR="002E2475" w:rsidRPr="002E2475">
              <w:rPr>
                <w:sz w:val="18"/>
                <w:szCs w:val="18"/>
                <w:lang w:val="en-US"/>
              </w:rPr>
              <w:t>17</w:t>
            </w:r>
            <w:r w:rsidR="0009167A" w:rsidRPr="0009167A">
              <w:rPr>
                <w:sz w:val="18"/>
                <w:szCs w:val="18"/>
                <w:lang w:val="en-US"/>
              </w:rPr>
              <w:t>1</w:t>
            </w:r>
            <w:r w:rsidR="002E2475" w:rsidRPr="002E2475">
              <w:rPr>
                <w:sz w:val="18"/>
                <w:szCs w:val="18"/>
                <w:lang w:val="en-US"/>
              </w:rPr>
              <w:t>.</w:t>
            </w:r>
            <w:r w:rsidR="0009167A" w:rsidRPr="0009167A">
              <w:rPr>
                <w:sz w:val="18"/>
                <w:szCs w:val="18"/>
                <w:lang w:val="en-US"/>
              </w:rPr>
              <w:t>8</w:t>
            </w:r>
            <w:r w:rsidRPr="00E36B27">
              <w:rPr>
                <w:sz w:val="18"/>
                <w:szCs w:val="18"/>
                <w:lang w:val="en-US"/>
              </w:rPr>
              <w:t xml:space="preserve"> billion.</w:t>
            </w:r>
          </w:p>
        </w:tc>
        <w:tc>
          <w:tcPr>
            <w:tcW w:w="1275" w:type="dxa"/>
            <w:tcBorders>
              <w:top w:val="single" w:sz="4" w:space="0" w:color="auto"/>
              <w:left w:val="nil"/>
              <w:bottom w:val="single" w:sz="4" w:space="0" w:color="auto"/>
              <w:right w:val="single" w:sz="4" w:space="0" w:color="auto"/>
            </w:tcBorders>
            <w:vAlign w:val="center"/>
          </w:tcPr>
          <w:p w:rsidR="00862DAA" w:rsidRPr="002E2475" w:rsidRDefault="00862DAA" w:rsidP="0009167A">
            <w:pPr>
              <w:jc w:val="center"/>
              <w:rPr>
                <w:sz w:val="18"/>
                <w:szCs w:val="18"/>
              </w:rPr>
            </w:pPr>
            <w:r w:rsidRPr="002E2475">
              <w:rPr>
                <w:sz w:val="18"/>
                <w:szCs w:val="18"/>
                <w:lang w:val="en-US"/>
              </w:rPr>
              <w:t>-</w:t>
            </w:r>
            <w:r w:rsidR="0009167A">
              <w:rPr>
                <w:sz w:val="18"/>
                <w:szCs w:val="18"/>
              </w:rPr>
              <w:t>197</w:t>
            </w:r>
          </w:p>
        </w:tc>
      </w:tr>
      <w:tr w:rsidR="00862DAA" w:rsidRPr="002E2475" w:rsidTr="0025710C">
        <w:trPr>
          <w:trHeight w:val="427"/>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862DAA" w:rsidRPr="00E36B27" w:rsidRDefault="00862DAA" w:rsidP="00770BC8">
            <w:pPr>
              <w:rPr>
                <w:b/>
                <w:sz w:val="18"/>
                <w:szCs w:val="18"/>
                <w:lang w:val="en-US"/>
              </w:rPr>
            </w:pPr>
            <w:r w:rsidRPr="00E36B27">
              <w:rPr>
                <w:b/>
                <w:sz w:val="18"/>
                <w:szCs w:val="18"/>
                <w:lang w:val="en-US"/>
              </w:rPr>
              <w:t>Decline in the share of income in joint ventures and associates</w:t>
            </w:r>
          </w:p>
        </w:tc>
        <w:tc>
          <w:tcPr>
            <w:tcW w:w="1275" w:type="dxa"/>
            <w:tcBorders>
              <w:top w:val="single" w:sz="4" w:space="0" w:color="auto"/>
              <w:left w:val="nil"/>
              <w:bottom w:val="single" w:sz="4" w:space="0" w:color="auto"/>
              <w:right w:val="single" w:sz="4" w:space="0" w:color="auto"/>
            </w:tcBorders>
            <w:vAlign w:val="center"/>
          </w:tcPr>
          <w:p w:rsidR="00862DAA" w:rsidRPr="002E2475" w:rsidRDefault="00862DAA" w:rsidP="00A7588C">
            <w:pPr>
              <w:jc w:val="center"/>
              <w:rPr>
                <w:sz w:val="18"/>
                <w:szCs w:val="18"/>
                <w:lang w:val="en-US"/>
              </w:rPr>
            </w:pPr>
            <w:r w:rsidRPr="002E2475">
              <w:rPr>
                <w:sz w:val="18"/>
                <w:szCs w:val="18"/>
                <w:lang w:val="en-US"/>
              </w:rPr>
              <w:t>-16</w:t>
            </w:r>
          </w:p>
        </w:tc>
      </w:tr>
      <w:tr w:rsidR="00862DAA" w:rsidRPr="002E2475" w:rsidTr="0025710C">
        <w:trPr>
          <w:trHeight w:val="286"/>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rsidR="00862DAA" w:rsidRPr="00E36B27" w:rsidRDefault="00862DAA" w:rsidP="006131A0">
            <w:pPr>
              <w:rPr>
                <w:b/>
                <w:color w:val="000000"/>
                <w:sz w:val="18"/>
                <w:szCs w:val="18"/>
                <w:lang w:val="en-US"/>
              </w:rPr>
            </w:pPr>
            <w:r w:rsidRPr="00E36B27">
              <w:rPr>
                <w:b/>
                <w:color w:val="000000"/>
                <w:sz w:val="18"/>
                <w:szCs w:val="18"/>
                <w:lang w:val="en-US"/>
              </w:rPr>
              <w:t>Other</w:t>
            </w:r>
          </w:p>
        </w:tc>
        <w:tc>
          <w:tcPr>
            <w:tcW w:w="1275" w:type="dxa"/>
            <w:tcBorders>
              <w:top w:val="single" w:sz="4" w:space="0" w:color="auto"/>
              <w:left w:val="nil"/>
              <w:bottom w:val="single" w:sz="4" w:space="0" w:color="auto"/>
              <w:right w:val="single" w:sz="4" w:space="0" w:color="auto"/>
            </w:tcBorders>
            <w:vAlign w:val="center"/>
          </w:tcPr>
          <w:p w:rsidR="00862DAA" w:rsidRPr="002E2475" w:rsidRDefault="009F0E44" w:rsidP="00A7588C">
            <w:pPr>
              <w:jc w:val="center"/>
              <w:rPr>
                <w:b/>
                <w:bCs/>
                <w:sz w:val="18"/>
                <w:szCs w:val="18"/>
              </w:rPr>
            </w:pPr>
            <w:r>
              <w:rPr>
                <w:sz w:val="18"/>
                <w:szCs w:val="18"/>
              </w:rPr>
              <w:t>-</w:t>
            </w:r>
            <w:r w:rsidR="002E2475">
              <w:rPr>
                <w:sz w:val="18"/>
                <w:szCs w:val="18"/>
              </w:rPr>
              <w:t>3</w:t>
            </w:r>
          </w:p>
        </w:tc>
      </w:tr>
    </w:tbl>
    <w:p w:rsidR="002664E4" w:rsidRPr="002E2475" w:rsidRDefault="002664E4" w:rsidP="002664E4">
      <w:pPr>
        <w:jc w:val="both"/>
        <w:rPr>
          <w:sz w:val="22"/>
          <w:szCs w:val="22"/>
          <w:lang w:val="en-US"/>
        </w:rPr>
      </w:pPr>
    </w:p>
    <w:p w:rsidR="002664E4" w:rsidRPr="0090249D" w:rsidRDefault="002664E4" w:rsidP="002664E4">
      <w:pPr>
        <w:ind w:left="-567" w:firstLine="567"/>
        <w:jc w:val="both"/>
        <w:rPr>
          <w:sz w:val="22"/>
          <w:szCs w:val="22"/>
          <w:lang w:val="en-US"/>
        </w:rPr>
      </w:pPr>
      <w:r w:rsidRPr="0090249D">
        <w:rPr>
          <w:rFonts w:eastAsiaTheme="majorEastAsia"/>
          <w:sz w:val="22"/>
          <w:szCs w:val="22"/>
          <w:lang w:val="en-US"/>
        </w:rPr>
        <w:t xml:space="preserve">The Government requires from the companies of the KMG engaged in the production of crude oil and sales of petroleum products, annually supply part of the products for the domestic market, mainly to maintain the balance of supply of petroleum products in the domestic market and to support agricultural producers during the spring and autumn sowing campaign. Oil prices in the local market </w:t>
      </w:r>
      <w:r w:rsidR="00403DA9">
        <w:rPr>
          <w:rFonts w:eastAsiaTheme="majorEastAsia"/>
          <w:sz w:val="22"/>
          <w:szCs w:val="22"/>
          <w:lang w:val="en-US"/>
        </w:rPr>
        <w:t>(30 dollar/</w:t>
      </w:r>
      <w:proofErr w:type="spellStart"/>
      <w:r w:rsidR="00403DA9">
        <w:rPr>
          <w:rFonts w:eastAsiaTheme="majorEastAsia"/>
          <w:sz w:val="22"/>
          <w:szCs w:val="22"/>
          <w:lang w:val="en-US"/>
        </w:rPr>
        <w:t>bbl</w:t>
      </w:r>
      <w:proofErr w:type="spellEnd"/>
      <w:r w:rsidR="00403DA9">
        <w:rPr>
          <w:rFonts w:eastAsiaTheme="majorEastAsia"/>
          <w:sz w:val="22"/>
          <w:szCs w:val="22"/>
          <w:lang w:val="en-US"/>
        </w:rPr>
        <w:t xml:space="preserve">) </w:t>
      </w:r>
      <w:r w:rsidRPr="0090249D">
        <w:rPr>
          <w:rFonts w:eastAsiaTheme="majorEastAsia"/>
          <w:sz w:val="22"/>
          <w:szCs w:val="22"/>
          <w:lang w:val="en-US"/>
        </w:rPr>
        <w:t xml:space="preserve">are lower by </w:t>
      </w:r>
      <w:r w:rsidR="00403DA9">
        <w:rPr>
          <w:rFonts w:eastAsiaTheme="majorEastAsia"/>
          <w:sz w:val="22"/>
          <w:szCs w:val="22"/>
          <w:lang w:val="en-US"/>
        </w:rPr>
        <w:t>68.8</w:t>
      </w:r>
      <w:r w:rsidRPr="0090249D">
        <w:rPr>
          <w:rFonts w:eastAsiaTheme="majorEastAsia"/>
          <w:sz w:val="22"/>
          <w:szCs w:val="22"/>
          <w:lang w:val="en-US"/>
        </w:rPr>
        <w:t>% compared with the price for export</w:t>
      </w:r>
      <w:r w:rsidR="00403DA9">
        <w:rPr>
          <w:rFonts w:eastAsiaTheme="majorEastAsia"/>
          <w:sz w:val="22"/>
          <w:szCs w:val="22"/>
          <w:lang w:val="en-US"/>
        </w:rPr>
        <w:t xml:space="preserve"> (109 dollar/</w:t>
      </w:r>
      <w:proofErr w:type="spellStart"/>
      <w:r w:rsidR="00403DA9">
        <w:rPr>
          <w:rFonts w:eastAsiaTheme="majorEastAsia"/>
          <w:sz w:val="22"/>
          <w:szCs w:val="22"/>
          <w:lang w:val="en-US"/>
        </w:rPr>
        <w:t>bbl</w:t>
      </w:r>
      <w:proofErr w:type="spellEnd"/>
      <w:r w:rsidR="00403DA9">
        <w:rPr>
          <w:rFonts w:eastAsiaTheme="majorEastAsia"/>
          <w:sz w:val="22"/>
          <w:szCs w:val="22"/>
          <w:lang w:val="en-US"/>
        </w:rPr>
        <w:t>)</w:t>
      </w:r>
      <w:r w:rsidRPr="0090249D">
        <w:rPr>
          <w:rFonts w:eastAsiaTheme="majorEastAsia"/>
          <w:sz w:val="22"/>
          <w:szCs w:val="22"/>
          <w:lang w:val="en-US"/>
        </w:rPr>
        <w:t>. If, in future, the Government assigns an additional amount of crude oil which exceeds the amount of supplied</w:t>
      </w:r>
      <w:r w:rsidR="00403DA9">
        <w:rPr>
          <w:rFonts w:eastAsiaTheme="majorEastAsia"/>
          <w:sz w:val="22"/>
          <w:szCs w:val="22"/>
          <w:lang w:val="en-US"/>
        </w:rPr>
        <w:t xml:space="preserve"> by the Group of the KMG in 2012</w:t>
      </w:r>
      <w:r w:rsidRPr="0090249D">
        <w:rPr>
          <w:rFonts w:eastAsiaTheme="majorEastAsia"/>
          <w:sz w:val="22"/>
          <w:szCs w:val="22"/>
          <w:lang w:val="en-US"/>
        </w:rPr>
        <w:t>, such supplies will have priority over the supply at the market prices. This, in turn, will generate less revenue from the sale of crude oil for export and adversely affect the business, prospects, financial condition and the cost of the KMG. </w:t>
      </w:r>
      <w:r w:rsidR="00403DA9" w:rsidRPr="00403DA9">
        <w:rPr>
          <w:rFonts w:eastAsiaTheme="majorEastAsia"/>
          <w:sz w:val="22"/>
          <w:szCs w:val="22"/>
          <w:lang w:val="en-US"/>
        </w:rPr>
        <w:t>Oil supplies to the domestic market</w:t>
      </w:r>
      <w:r w:rsidR="00403DA9">
        <w:rPr>
          <w:rFonts w:eastAsiaTheme="majorEastAsia"/>
          <w:sz w:val="22"/>
          <w:szCs w:val="22"/>
          <w:lang w:val="en-US"/>
        </w:rPr>
        <w:t xml:space="preserve"> are</w:t>
      </w:r>
      <w:r w:rsidR="00403DA9" w:rsidRPr="00403DA9">
        <w:rPr>
          <w:rFonts w:eastAsiaTheme="majorEastAsia"/>
          <w:sz w:val="22"/>
          <w:szCs w:val="22"/>
          <w:lang w:val="en-US"/>
        </w:rPr>
        <w:t xml:space="preserve"> increased </w:t>
      </w:r>
      <w:r w:rsidR="00403DA9">
        <w:rPr>
          <w:rFonts w:eastAsiaTheme="majorEastAsia"/>
          <w:sz w:val="22"/>
          <w:szCs w:val="22"/>
          <w:lang w:val="en-US"/>
        </w:rPr>
        <w:t>i</w:t>
      </w:r>
      <w:r w:rsidR="00403DA9" w:rsidRPr="00403DA9">
        <w:rPr>
          <w:rFonts w:eastAsiaTheme="majorEastAsia"/>
          <w:sz w:val="22"/>
          <w:szCs w:val="22"/>
          <w:lang w:val="en-US"/>
        </w:rPr>
        <w:t>n the period under review.</w:t>
      </w:r>
    </w:p>
    <w:p w:rsidR="002664E4" w:rsidRPr="0090249D" w:rsidRDefault="002664E4" w:rsidP="002664E4">
      <w:pPr>
        <w:ind w:left="-567" w:firstLine="567"/>
        <w:jc w:val="both"/>
        <w:rPr>
          <w:sz w:val="22"/>
          <w:szCs w:val="22"/>
          <w:lang w:val="en-US"/>
        </w:rPr>
      </w:pPr>
      <w:r w:rsidRPr="0090249D">
        <w:rPr>
          <w:rFonts w:eastAsiaTheme="majorEastAsia"/>
          <w:sz w:val="22"/>
          <w:szCs w:val="22"/>
          <w:lang w:val="en-US"/>
        </w:rPr>
        <w:t>The basic steps taken to improve the net income in the oil and gas segment are described below.</w:t>
      </w:r>
    </w:p>
    <w:p w:rsidR="002664E4" w:rsidRPr="0090249D" w:rsidRDefault="002664E4" w:rsidP="002664E4">
      <w:pPr>
        <w:ind w:left="-567" w:firstLine="567"/>
        <w:jc w:val="both"/>
        <w:rPr>
          <w:sz w:val="22"/>
          <w:szCs w:val="22"/>
          <w:lang w:val="en-US"/>
        </w:rPr>
      </w:pPr>
      <w:r w:rsidRPr="0090249D">
        <w:rPr>
          <w:sz w:val="22"/>
          <w:szCs w:val="22"/>
          <w:lang w:val="en-US"/>
        </w:rPr>
        <w:t>The KMG</w:t>
      </w:r>
      <w:r w:rsidRPr="0090249D">
        <w:rPr>
          <w:rFonts w:eastAsiaTheme="majorEastAsia"/>
          <w:sz w:val="22"/>
          <w:szCs w:val="22"/>
          <w:lang w:val="en-US"/>
        </w:rPr>
        <w:t xml:space="preserve"> will take drastic </w:t>
      </w:r>
      <w:r w:rsidR="00403DA9">
        <w:rPr>
          <w:rFonts w:eastAsiaTheme="majorEastAsia"/>
          <w:sz w:val="22"/>
          <w:szCs w:val="22"/>
          <w:lang w:val="en-US"/>
        </w:rPr>
        <w:t xml:space="preserve">measures on timely search and </w:t>
      </w:r>
      <w:r w:rsidRPr="0090249D">
        <w:rPr>
          <w:rFonts w:eastAsiaTheme="majorEastAsia"/>
          <w:sz w:val="22"/>
          <w:szCs w:val="22"/>
          <w:lang w:val="en-US"/>
        </w:rPr>
        <w:t>involvement in the active development of hydrocarbon reserves and on a comprehensive study of the state of the fund of production and injection wells for the three–quarter set, to restore oil production volume from the field;</w:t>
      </w:r>
    </w:p>
    <w:p w:rsidR="002664E4" w:rsidRPr="0090249D" w:rsidRDefault="002664E4" w:rsidP="002664E4">
      <w:pPr>
        <w:ind w:left="-567" w:firstLine="567"/>
        <w:jc w:val="both"/>
        <w:rPr>
          <w:sz w:val="22"/>
          <w:szCs w:val="22"/>
          <w:lang w:val="en-US"/>
        </w:rPr>
      </w:pPr>
      <w:r w:rsidRPr="0090249D">
        <w:rPr>
          <w:rFonts w:eastAsiaTheme="majorEastAsia"/>
          <w:sz w:val="22"/>
          <w:szCs w:val="22"/>
          <w:lang w:val="en-US"/>
        </w:rPr>
        <w:lastRenderedPageBreak/>
        <w:t>The next factor - is the current system of tariff regulation, measures on which the Companies of the KMG take in conjunction with the Fund and the Government.</w:t>
      </w:r>
    </w:p>
    <w:p w:rsidR="002664E4" w:rsidRPr="0090249D" w:rsidRDefault="002664E4" w:rsidP="002664E4">
      <w:pPr>
        <w:ind w:left="-567" w:firstLine="567"/>
        <w:jc w:val="both"/>
        <w:rPr>
          <w:rFonts w:eastAsiaTheme="majorEastAsia"/>
          <w:lang w:val="en-US"/>
        </w:rPr>
      </w:pPr>
      <w:r w:rsidRPr="0090249D">
        <w:rPr>
          <w:rFonts w:eastAsiaTheme="majorEastAsia"/>
          <w:sz w:val="22"/>
          <w:szCs w:val="22"/>
          <w:lang w:val="en-US"/>
        </w:rPr>
        <w:t xml:space="preserve">The KMG </w:t>
      </w:r>
      <w:r w:rsidR="00403DA9">
        <w:rPr>
          <w:rFonts w:eastAsiaTheme="majorEastAsia"/>
          <w:sz w:val="22"/>
          <w:szCs w:val="22"/>
          <w:lang w:val="en-US"/>
        </w:rPr>
        <w:t xml:space="preserve">together with the Fund </w:t>
      </w:r>
      <w:r w:rsidR="00403DA9" w:rsidRPr="00403DA9">
        <w:rPr>
          <w:rFonts w:eastAsiaTheme="majorEastAsia"/>
          <w:sz w:val="22"/>
          <w:szCs w:val="22"/>
          <w:lang w:val="en-US"/>
        </w:rPr>
        <w:t xml:space="preserve">currently </w:t>
      </w:r>
      <w:r w:rsidRPr="0090249D">
        <w:rPr>
          <w:rFonts w:eastAsiaTheme="majorEastAsia"/>
          <w:sz w:val="22"/>
          <w:szCs w:val="22"/>
          <w:lang w:val="en-US"/>
        </w:rPr>
        <w:t xml:space="preserve">work </w:t>
      </w:r>
      <w:r w:rsidR="00403DA9" w:rsidRPr="00403DA9">
        <w:rPr>
          <w:rFonts w:eastAsiaTheme="majorEastAsia"/>
          <w:sz w:val="22"/>
          <w:szCs w:val="22"/>
          <w:lang w:val="en-US"/>
        </w:rPr>
        <w:t xml:space="preserve">to optimize costs, mainly the cost in terms of the </w:t>
      </w:r>
      <w:r w:rsidR="00403DA9">
        <w:rPr>
          <w:rFonts w:eastAsiaTheme="majorEastAsia"/>
          <w:sz w:val="22"/>
          <w:szCs w:val="22"/>
          <w:lang w:val="en-US"/>
        </w:rPr>
        <w:t>expenses</w:t>
      </w:r>
      <w:r w:rsidR="00403DA9" w:rsidRPr="00403DA9">
        <w:rPr>
          <w:rFonts w:eastAsiaTheme="majorEastAsia"/>
          <w:sz w:val="22"/>
          <w:szCs w:val="22"/>
          <w:lang w:val="en-US"/>
        </w:rPr>
        <w:t xml:space="preserve"> </w:t>
      </w:r>
      <w:r w:rsidR="00403DA9">
        <w:rPr>
          <w:rFonts w:eastAsiaTheme="majorEastAsia"/>
          <w:sz w:val="22"/>
          <w:szCs w:val="22"/>
          <w:lang w:val="en-US"/>
        </w:rPr>
        <w:t>for</w:t>
      </w:r>
      <w:r w:rsidR="00403DA9" w:rsidRPr="00403DA9">
        <w:rPr>
          <w:rFonts w:eastAsiaTheme="majorEastAsia"/>
          <w:sz w:val="22"/>
          <w:szCs w:val="22"/>
          <w:lang w:val="en-US"/>
        </w:rPr>
        <w:t xml:space="preserve"> materials and supplies</w:t>
      </w:r>
      <w:r w:rsidRPr="0090249D">
        <w:rPr>
          <w:rFonts w:eastAsiaTheme="majorEastAsia"/>
          <w:sz w:val="22"/>
          <w:szCs w:val="22"/>
          <w:lang w:val="en-US"/>
        </w:rPr>
        <w:t>.</w:t>
      </w:r>
    </w:p>
    <w:p w:rsidR="002664E4" w:rsidRPr="0090249D" w:rsidRDefault="002664E4" w:rsidP="002664E4">
      <w:pPr>
        <w:ind w:left="-567" w:firstLine="567"/>
        <w:jc w:val="both"/>
        <w:rPr>
          <w:b/>
          <w:sz w:val="22"/>
          <w:szCs w:val="22"/>
          <w:lang w:val="en-US"/>
        </w:rPr>
      </w:pPr>
      <w:r w:rsidRPr="0090249D">
        <w:rPr>
          <w:rFonts w:eastAsiaTheme="majorEastAsia"/>
          <w:sz w:val="22"/>
          <w:szCs w:val="22"/>
          <w:lang w:val="en-US"/>
        </w:rPr>
        <w:t>Currently</w:t>
      </w:r>
      <w:r w:rsidRPr="0090249D">
        <w:rPr>
          <w:sz w:val="22"/>
          <w:szCs w:val="22"/>
          <w:lang w:val="en-US"/>
        </w:rPr>
        <w:t> </w:t>
      </w:r>
      <w:r w:rsidRPr="0090249D">
        <w:rPr>
          <w:rFonts w:eastAsiaTheme="majorEastAsia"/>
          <w:sz w:val="22"/>
          <w:szCs w:val="22"/>
          <w:lang w:val="en-US"/>
        </w:rPr>
        <w:t xml:space="preserve">the Companies of the segment </w:t>
      </w:r>
      <w:r w:rsidR="00403DA9">
        <w:rPr>
          <w:rFonts w:eastAsiaTheme="majorEastAsia"/>
          <w:sz w:val="22"/>
          <w:szCs w:val="22"/>
          <w:lang w:val="en-US"/>
        </w:rPr>
        <w:t xml:space="preserve">are preparing for transfer to </w:t>
      </w:r>
      <w:r w:rsidRPr="0090249D">
        <w:rPr>
          <w:rFonts w:eastAsiaTheme="majorEastAsia"/>
          <w:sz w:val="22"/>
          <w:szCs w:val="22"/>
          <w:lang w:val="en-US"/>
        </w:rPr>
        <w:t>the People</w:t>
      </w:r>
      <w:r w:rsidR="00403DA9">
        <w:rPr>
          <w:rFonts w:eastAsiaTheme="majorEastAsia"/>
          <w:sz w:val="22"/>
          <w:szCs w:val="22"/>
          <w:lang w:val="en-US"/>
        </w:rPr>
        <w:t>’</w:t>
      </w:r>
      <w:r w:rsidRPr="0090249D">
        <w:rPr>
          <w:rFonts w:eastAsiaTheme="majorEastAsia"/>
          <w:sz w:val="22"/>
          <w:szCs w:val="22"/>
          <w:lang w:val="en-US"/>
        </w:rPr>
        <w:t>s</w:t>
      </w:r>
      <w:r w:rsidRPr="0090249D">
        <w:rPr>
          <w:sz w:val="22"/>
          <w:szCs w:val="22"/>
          <w:lang w:val="en-US"/>
        </w:rPr>
        <w:t> </w:t>
      </w:r>
      <w:r w:rsidRPr="0090249D">
        <w:rPr>
          <w:rFonts w:eastAsiaTheme="majorEastAsia"/>
          <w:sz w:val="22"/>
          <w:szCs w:val="22"/>
          <w:lang w:val="en-US"/>
        </w:rPr>
        <w:t>IPO.</w:t>
      </w:r>
    </w:p>
    <w:p w:rsidR="002664E4" w:rsidRDefault="002664E4" w:rsidP="002664E4">
      <w:pPr>
        <w:ind w:left="-567" w:firstLine="567"/>
        <w:jc w:val="both"/>
        <w:rPr>
          <w:rFonts w:eastAsiaTheme="majorEastAsia"/>
          <w:sz w:val="22"/>
          <w:szCs w:val="22"/>
          <w:lang w:val="en-US"/>
        </w:rPr>
      </w:pPr>
      <w:r w:rsidRPr="0090249D">
        <w:rPr>
          <w:rFonts w:eastAsiaTheme="majorEastAsia"/>
          <w:b/>
          <w:sz w:val="22"/>
          <w:szCs w:val="22"/>
          <w:lang w:val="en-US"/>
        </w:rPr>
        <w:t>Capital costs</w:t>
      </w:r>
      <w:r w:rsidRPr="0090249D">
        <w:rPr>
          <w:rFonts w:eastAsiaTheme="majorEastAsia"/>
          <w:sz w:val="22"/>
          <w:szCs w:val="22"/>
          <w:lang w:val="en-US"/>
        </w:rPr>
        <w:t xml:space="preserve"> for this segment </w:t>
      </w:r>
      <w:r w:rsidR="008A3E29">
        <w:rPr>
          <w:rFonts w:eastAsiaTheme="majorEastAsia"/>
          <w:sz w:val="22"/>
          <w:szCs w:val="22"/>
          <w:lang w:val="en-US"/>
        </w:rPr>
        <w:t>were directed f</w:t>
      </w:r>
      <w:r w:rsidRPr="0090249D">
        <w:rPr>
          <w:rFonts w:eastAsiaTheme="majorEastAsia"/>
          <w:sz w:val="22"/>
          <w:szCs w:val="22"/>
          <w:lang w:val="en-US"/>
        </w:rPr>
        <w:t>or maintenance of productive assets and other fixed assets</w:t>
      </w:r>
      <w:r w:rsidR="008A3E29">
        <w:rPr>
          <w:rFonts w:eastAsiaTheme="majorEastAsia"/>
          <w:sz w:val="22"/>
          <w:szCs w:val="22"/>
          <w:lang w:val="en-US"/>
        </w:rPr>
        <w:t xml:space="preserve">, </w:t>
      </w:r>
      <w:r w:rsidRPr="0090249D">
        <w:rPr>
          <w:rFonts w:eastAsiaTheme="majorEastAsia"/>
          <w:sz w:val="22"/>
          <w:szCs w:val="22"/>
          <w:lang w:val="en-US"/>
        </w:rPr>
        <w:t>investments in the authorized capital of companies of subsidiaries</w:t>
      </w:r>
      <w:r w:rsidR="008A3E29">
        <w:rPr>
          <w:rFonts w:eastAsiaTheme="majorEastAsia"/>
          <w:sz w:val="22"/>
          <w:szCs w:val="22"/>
          <w:lang w:val="en-US"/>
        </w:rPr>
        <w:t xml:space="preserve">, </w:t>
      </w:r>
      <w:r w:rsidR="00403DA9">
        <w:rPr>
          <w:rFonts w:eastAsiaTheme="majorEastAsia"/>
          <w:sz w:val="22"/>
          <w:szCs w:val="22"/>
          <w:lang w:val="en-US"/>
        </w:rPr>
        <w:t>investment projects</w:t>
      </w:r>
      <w:r w:rsidR="008A3E29">
        <w:rPr>
          <w:rFonts w:eastAsiaTheme="majorEastAsia"/>
          <w:sz w:val="22"/>
          <w:szCs w:val="22"/>
          <w:lang w:val="en-US"/>
        </w:rPr>
        <w:t xml:space="preserve"> </w:t>
      </w:r>
      <w:r w:rsidR="00403DA9">
        <w:rPr>
          <w:rFonts w:eastAsiaTheme="majorEastAsia"/>
          <w:sz w:val="22"/>
          <w:szCs w:val="22"/>
          <w:lang w:val="en-US"/>
        </w:rPr>
        <w:t>and acquisition of shares</w:t>
      </w:r>
      <w:r w:rsidR="008A3E29">
        <w:rPr>
          <w:rFonts w:eastAsiaTheme="majorEastAsia"/>
          <w:sz w:val="22"/>
          <w:szCs w:val="22"/>
          <w:lang w:val="en-US"/>
        </w:rPr>
        <w:t>,</w:t>
      </w:r>
      <w:r w:rsidR="00403DA9">
        <w:rPr>
          <w:rFonts w:eastAsiaTheme="majorEastAsia"/>
          <w:sz w:val="22"/>
          <w:szCs w:val="22"/>
          <w:lang w:val="en-US"/>
        </w:rPr>
        <w:t xml:space="preserve"> and mainly were </w:t>
      </w:r>
      <w:r w:rsidR="008A3E29">
        <w:rPr>
          <w:rFonts w:eastAsiaTheme="majorEastAsia"/>
          <w:sz w:val="22"/>
          <w:szCs w:val="22"/>
          <w:lang w:val="en-US"/>
        </w:rPr>
        <w:t>directed to</w:t>
      </w:r>
      <w:r w:rsidRPr="0090249D">
        <w:rPr>
          <w:rFonts w:eastAsiaTheme="majorEastAsia"/>
          <w:sz w:val="22"/>
          <w:szCs w:val="22"/>
          <w:lang w:val="en-US"/>
        </w:rPr>
        <w:t>:</w:t>
      </w:r>
    </w:p>
    <w:p w:rsidR="00403DA9" w:rsidRPr="00403DA9" w:rsidRDefault="00403DA9" w:rsidP="00403DA9">
      <w:pPr>
        <w:ind w:left="-567" w:firstLine="567"/>
        <w:jc w:val="both"/>
        <w:rPr>
          <w:sz w:val="22"/>
          <w:szCs w:val="22"/>
          <w:lang w:val="en-US"/>
        </w:rPr>
      </w:pPr>
      <w:r w:rsidRPr="00403DA9">
        <w:rPr>
          <w:sz w:val="22"/>
          <w:szCs w:val="22"/>
          <w:lang w:val="en-US"/>
        </w:rPr>
        <w:t xml:space="preserve">• </w:t>
      </w:r>
      <w:proofErr w:type="gramStart"/>
      <w:r w:rsidRPr="00403DA9">
        <w:rPr>
          <w:sz w:val="22"/>
          <w:szCs w:val="22"/>
          <w:lang w:val="en-US"/>
        </w:rPr>
        <w:t>implementation</w:t>
      </w:r>
      <w:proofErr w:type="gramEnd"/>
      <w:r w:rsidRPr="00403DA9">
        <w:rPr>
          <w:sz w:val="22"/>
          <w:szCs w:val="22"/>
          <w:lang w:val="en-US"/>
        </w:rPr>
        <w:t xml:space="preserve"> of the North-Caspian project (KMG</w:t>
      </w:r>
      <w:r w:rsidR="00E83AA8">
        <w:rPr>
          <w:sz w:val="22"/>
          <w:szCs w:val="22"/>
          <w:lang w:val="en-US"/>
        </w:rPr>
        <w:t xml:space="preserve"> share</w:t>
      </w:r>
      <w:r w:rsidRPr="00403DA9">
        <w:rPr>
          <w:sz w:val="22"/>
          <w:szCs w:val="22"/>
          <w:lang w:val="en-US"/>
        </w:rPr>
        <w:t>);</w:t>
      </w:r>
    </w:p>
    <w:p w:rsidR="00403DA9" w:rsidRPr="00403DA9" w:rsidRDefault="00403DA9" w:rsidP="00403DA9">
      <w:pPr>
        <w:ind w:left="-567" w:firstLine="567"/>
        <w:jc w:val="both"/>
        <w:rPr>
          <w:sz w:val="22"/>
          <w:szCs w:val="22"/>
          <w:lang w:val="en-US"/>
        </w:rPr>
      </w:pPr>
      <w:r w:rsidRPr="00403DA9">
        <w:rPr>
          <w:sz w:val="22"/>
          <w:szCs w:val="22"/>
          <w:lang w:val="en-US"/>
        </w:rPr>
        <w:t xml:space="preserve">• </w:t>
      </w:r>
      <w:proofErr w:type="gramStart"/>
      <w:r w:rsidRPr="00403DA9">
        <w:rPr>
          <w:sz w:val="22"/>
          <w:szCs w:val="22"/>
          <w:lang w:val="en-US"/>
        </w:rPr>
        <w:t>projects</w:t>
      </w:r>
      <w:proofErr w:type="gramEnd"/>
      <w:r w:rsidRPr="00403DA9">
        <w:rPr>
          <w:sz w:val="22"/>
          <w:szCs w:val="22"/>
          <w:lang w:val="en-US"/>
        </w:rPr>
        <w:t xml:space="preserve"> for exploration and development activities </w:t>
      </w:r>
      <w:r w:rsidR="00E83AA8">
        <w:rPr>
          <w:sz w:val="22"/>
          <w:szCs w:val="22"/>
          <w:lang w:val="en-US"/>
        </w:rPr>
        <w:t>of KMG</w:t>
      </w:r>
      <w:r w:rsidRPr="00403DA9">
        <w:rPr>
          <w:sz w:val="22"/>
          <w:szCs w:val="22"/>
          <w:lang w:val="en-US"/>
        </w:rPr>
        <w:t>;</w:t>
      </w:r>
    </w:p>
    <w:p w:rsidR="00403DA9" w:rsidRPr="00403DA9" w:rsidRDefault="00403DA9" w:rsidP="00403DA9">
      <w:pPr>
        <w:ind w:left="-567" w:firstLine="567"/>
        <w:jc w:val="both"/>
        <w:rPr>
          <w:sz w:val="22"/>
          <w:szCs w:val="22"/>
          <w:lang w:val="en-US"/>
        </w:rPr>
      </w:pPr>
      <w:r w:rsidRPr="00403DA9">
        <w:rPr>
          <w:sz w:val="22"/>
          <w:szCs w:val="22"/>
          <w:lang w:val="en-US"/>
        </w:rPr>
        <w:t xml:space="preserve">• </w:t>
      </w:r>
      <w:proofErr w:type="gramStart"/>
      <w:r w:rsidRPr="00403DA9">
        <w:rPr>
          <w:sz w:val="22"/>
          <w:szCs w:val="22"/>
          <w:lang w:val="en-US"/>
        </w:rPr>
        <w:t>construction</w:t>
      </w:r>
      <w:proofErr w:type="gramEnd"/>
      <w:r w:rsidRPr="00403DA9">
        <w:rPr>
          <w:sz w:val="22"/>
          <w:szCs w:val="22"/>
          <w:lang w:val="en-US"/>
        </w:rPr>
        <w:t xml:space="preserve"> of the production of aromatics;</w:t>
      </w:r>
    </w:p>
    <w:p w:rsidR="00403DA9" w:rsidRPr="00403DA9" w:rsidRDefault="00E83AA8" w:rsidP="00403DA9">
      <w:pPr>
        <w:ind w:left="-567" w:firstLine="567"/>
        <w:jc w:val="both"/>
        <w:rPr>
          <w:sz w:val="22"/>
          <w:szCs w:val="22"/>
          <w:lang w:val="en-US"/>
        </w:rPr>
      </w:pPr>
      <w:r>
        <w:rPr>
          <w:sz w:val="22"/>
          <w:szCs w:val="22"/>
          <w:lang w:val="en-US"/>
        </w:rPr>
        <w:t xml:space="preserve">• </w:t>
      </w:r>
      <w:proofErr w:type="gramStart"/>
      <w:r>
        <w:rPr>
          <w:sz w:val="22"/>
          <w:szCs w:val="22"/>
          <w:lang w:val="en-US"/>
        </w:rPr>
        <w:t>construction</w:t>
      </w:r>
      <w:proofErr w:type="gramEnd"/>
      <w:r>
        <w:rPr>
          <w:sz w:val="22"/>
          <w:szCs w:val="22"/>
          <w:lang w:val="en-US"/>
        </w:rPr>
        <w:t xml:space="preserve"> of “</w:t>
      </w:r>
      <w:r w:rsidR="00403DA9" w:rsidRPr="00403DA9">
        <w:rPr>
          <w:sz w:val="22"/>
          <w:szCs w:val="22"/>
          <w:lang w:val="en-US"/>
        </w:rPr>
        <w:t>Museum of the History of Kazakhstan</w:t>
      </w:r>
      <w:r>
        <w:rPr>
          <w:sz w:val="22"/>
          <w:szCs w:val="22"/>
          <w:lang w:val="en-US"/>
        </w:rPr>
        <w:t>”</w:t>
      </w:r>
      <w:r w:rsidR="008A3E29">
        <w:rPr>
          <w:sz w:val="22"/>
          <w:szCs w:val="22"/>
          <w:lang w:val="en-US"/>
        </w:rPr>
        <w:t>;</w:t>
      </w:r>
    </w:p>
    <w:p w:rsidR="00403DA9" w:rsidRPr="00403DA9" w:rsidRDefault="00403DA9" w:rsidP="00403DA9">
      <w:pPr>
        <w:ind w:left="-567" w:firstLine="567"/>
        <w:jc w:val="both"/>
        <w:rPr>
          <w:sz w:val="22"/>
          <w:szCs w:val="22"/>
          <w:lang w:val="en-US"/>
        </w:rPr>
      </w:pPr>
      <w:r w:rsidRPr="00403DA9">
        <w:rPr>
          <w:sz w:val="22"/>
          <w:szCs w:val="22"/>
          <w:lang w:val="en-US"/>
        </w:rPr>
        <w:t xml:space="preserve">• </w:t>
      </w:r>
      <w:proofErr w:type="gramStart"/>
      <w:r w:rsidRPr="00403DA9">
        <w:rPr>
          <w:sz w:val="22"/>
          <w:szCs w:val="22"/>
          <w:lang w:val="en-US"/>
        </w:rPr>
        <w:t>development</w:t>
      </w:r>
      <w:proofErr w:type="gramEnd"/>
      <w:r w:rsidRPr="00403DA9">
        <w:rPr>
          <w:sz w:val="22"/>
          <w:szCs w:val="22"/>
          <w:lang w:val="en-US"/>
        </w:rPr>
        <w:t xml:space="preserve"> of </w:t>
      </w:r>
      <w:r w:rsidR="00E83AA8" w:rsidRPr="00403DA9">
        <w:rPr>
          <w:sz w:val="22"/>
          <w:szCs w:val="22"/>
          <w:lang w:val="en-US"/>
        </w:rPr>
        <w:t>turbo</w:t>
      </w:r>
      <w:r w:rsidR="00E83AA8">
        <w:rPr>
          <w:sz w:val="22"/>
          <w:szCs w:val="22"/>
          <w:lang w:val="en-US"/>
        </w:rPr>
        <w:t xml:space="preserve"> blower</w:t>
      </w:r>
      <w:r w:rsidRPr="00403DA9">
        <w:rPr>
          <w:sz w:val="22"/>
          <w:szCs w:val="22"/>
          <w:lang w:val="en-US"/>
        </w:rPr>
        <w:t xml:space="preserve"> shop </w:t>
      </w:r>
      <w:r w:rsidR="00E83AA8">
        <w:rPr>
          <w:sz w:val="22"/>
          <w:szCs w:val="22"/>
          <w:lang w:val="en-US"/>
        </w:rPr>
        <w:t xml:space="preserve"># 4 Ks </w:t>
      </w:r>
      <w:proofErr w:type="spellStart"/>
      <w:r w:rsidR="00E83AA8">
        <w:rPr>
          <w:sz w:val="22"/>
          <w:szCs w:val="22"/>
          <w:lang w:val="en-US"/>
        </w:rPr>
        <w:t>Makat</w:t>
      </w:r>
      <w:proofErr w:type="spellEnd"/>
      <w:r w:rsidRPr="00403DA9">
        <w:rPr>
          <w:sz w:val="22"/>
          <w:szCs w:val="22"/>
          <w:lang w:val="en-US"/>
        </w:rPr>
        <w:t>;</w:t>
      </w:r>
    </w:p>
    <w:p w:rsidR="00403DA9" w:rsidRPr="00403DA9" w:rsidRDefault="00403DA9" w:rsidP="00403DA9">
      <w:pPr>
        <w:ind w:left="-567" w:firstLine="567"/>
        <w:jc w:val="both"/>
        <w:rPr>
          <w:sz w:val="22"/>
          <w:szCs w:val="22"/>
          <w:lang w:val="en-US"/>
        </w:rPr>
      </w:pPr>
      <w:r w:rsidRPr="00403DA9">
        <w:rPr>
          <w:sz w:val="22"/>
          <w:szCs w:val="22"/>
          <w:lang w:val="en-US"/>
        </w:rPr>
        <w:t xml:space="preserve">• </w:t>
      </w:r>
      <w:proofErr w:type="gramStart"/>
      <w:r w:rsidRPr="00403DA9">
        <w:rPr>
          <w:sz w:val="22"/>
          <w:szCs w:val="22"/>
          <w:lang w:val="en-US"/>
        </w:rPr>
        <w:t>modernization</w:t>
      </w:r>
      <w:proofErr w:type="gramEnd"/>
      <w:r w:rsidRPr="00403DA9">
        <w:rPr>
          <w:sz w:val="22"/>
          <w:szCs w:val="22"/>
          <w:lang w:val="en-US"/>
        </w:rPr>
        <w:t xml:space="preserve"> of the refinery Petromidia (Rompetrol Group).</w:t>
      </w:r>
    </w:p>
    <w:p w:rsidR="00403DA9" w:rsidRPr="0090249D" w:rsidRDefault="00403DA9" w:rsidP="00403DA9">
      <w:pPr>
        <w:ind w:left="-567" w:firstLine="567"/>
        <w:jc w:val="both"/>
        <w:rPr>
          <w:sz w:val="22"/>
          <w:szCs w:val="22"/>
          <w:lang w:val="en-US"/>
        </w:rPr>
      </w:pPr>
      <w:r w:rsidRPr="00403DA9">
        <w:rPr>
          <w:sz w:val="22"/>
          <w:szCs w:val="22"/>
          <w:lang w:val="en-US"/>
        </w:rPr>
        <w:t>In addition, the percentage of capital cost</w:t>
      </w:r>
      <w:r w:rsidR="00E83AA8">
        <w:rPr>
          <w:sz w:val="22"/>
          <w:szCs w:val="22"/>
          <w:lang w:val="en-US"/>
        </w:rPr>
        <w:t>s</w:t>
      </w:r>
      <w:r w:rsidRPr="00403DA9">
        <w:rPr>
          <w:sz w:val="22"/>
          <w:szCs w:val="22"/>
          <w:lang w:val="en-US"/>
        </w:rPr>
        <w:t xml:space="preserve"> </w:t>
      </w:r>
      <w:r w:rsidR="00374941">
        <w:rPr>
          <w:sz w:val="22"/>
          <w:szCs w:val="22"/>
          <w:lang w:val="en-US"/>
        </w:rPr>
        <w:t>takes</w:t>
      </w:r>
      <w:r w:rsidRPr="00403DA9">
        <w:rPr>
          <w:sz w:val="22"/>
          <w:szCs w:val="22"/>
          <w:lang w:val="en-US"/>
        </w:rPr>
        <w:t xml:space="preserve"> the purchase of 10% stake in the Karachaganak project.</w:t>
      </w:r>
    </w:p>
    <w:p w:rsidR="002664E4" w:rsidRPr="00334790" w:rsidRDefault="002664E4" w:rsidP="002664E4">
      <w:pPr>
        <w:ind w:left="-567" w:firstLine="567"/>
        <w:jc w:val="both"/>
        <w:rPr>
          <w:rFonts w:eastAsiaTheme="majorEastAsia"/>
          <w:sz w:val="22"/>
          <w:szCs w:val="22"/>
          <w:lang w:val="en-US"/>
        </w:rPr>
      </w:pPr>
    </w:p>
    <w:p w:rsidR="00344B3E" w:rsidRPr="00334790" w:rsidRDefault="00344B3E" w:rsidP="002664E4">
      <w:pPr>
        <w:ind w:left="-567" w:firstLine="567"/>
        <w:jc w:val="both"/>
        <w:rPr>
          <w:rFonts w:eastAsiaTheme="majorEastAsia"/>
          <w:sz w:val="22"/>
          <w:szCs w:val="22"/>
          <w:lang w:val="en-US"/>
        </w:rPr>
      </w:pPr>
    </w:p>
    <w:p w:rsidR="00344B3E" w:rsidRPr="00334790" w:rsidRDefault="00344B3E" w:rsidP="002664E4">
      <w:pPr>
        <w:ind w:left="-567" w:firstLine="567"/>
        <w:jc w:val="both"/>
        <w:rPr>
          <w:rFonts w:eastAsiaTheme="majorEastAsia"/>
          <w:sz w:val="22"/>
          <w:szCs w:val="22"/>
          <w:lang w:val="en-US"/>
        </w:rPr>
      </w:pPr>
    </w:p>
    <w:p w:rsidR="002664E4" w:rsidRPr="000F2EFA" w:rsidRDefault="002664E4" w:rsidP="002664E4">
      <w:pPr>
        <w:rPr>
          <w:rStyle w:val="apple-style-span"/>
          <w:b/>
          <w:sz w:val="22"/>
          <w:szCs w:val="22"/>
          <w:shd w:val="clear" w:color="auto" w:fill="FFFFFF"/>
          <w:lang w:val="en-US"/>
        </w:rPr>
      </w:pPr>
      <w:r w:rsidRPr="000F2EFA">
        <w:rPr>
          <w:rStyle w:val="apple-style-span"/>
          <w:b/>
          <w:sz w:val="22"/>
          <w:szCs w:val="22"/>
          <w:shd w:val="clear" w:color="auto" w:fill="FFFFFF"/>
          <w:lang w:val="en-US"/>
        </w:rPr>
        <w:t>3.</w:t>
      </w:r>
      <w:r w:rsidRPr="00ED3732">
        <w:rPr>
          <w:rStyle w:val="apple-style-span"/>
          <w:b/>
          <w:sz w:val="22"/>
          <w:szCs w:val="22"/>
          <w:shd w:val="clear" w:color="auto" w:fill="FFFFFF"/>
          <w:lang w:val="en-US"/>
        </w:rPr>
        <w:t xml:space="preserve">2 </w:t>
      </w:r>
      <w:r>
        <w:rPr>
          <w:rStyle w:val="apple-style-span"/>
          <w:b/>
          <w:sz w:val="22"/>
          <w:szCs w:val="22"/>
          <w:shd w:val="clear" w:color="auto" w:fill="FFFFFF"/>
          <w:lang w:val="en-US"/>
        </w:rPr>
        <w:t>“Mining</w:t>
      </w:r>
      <w:r w:rsidRPr="000F2EFA">
        <w:rPr>
          <w:rStyle w:val="apple-style-span"/>
          <w:b/>
          <w:sz w:val="22"/>
          <w:szCs w:val="22"/>
          <w:shd w:val="clear" w:color="auto" w:fill="FFFFFF"/>
          <w:lang w:val="en-US"/>
        </w:rPr>
        <w:t xml:space="preserve"> and industrial</w:t>
      </w:r>
      <w:r>
        <w:rPr>
          <w:rStyle w:val="apple-style-span"/>
          <w:b/>
          <w:sz w:val="22"/>
          <w:szCs w:val="22"/>
          <w:shd w:val="clear" w:color="auto" w:fill="FFFFFF"/>
          <w:lang w:val="en-US"/>
        </w:rPr>
        <w:t>” segment</w:t>
      </w:r>
    </w:p>
    <w:p w:rsidR="002664E4" w:rsidRPr="000F2EFA" w:rsidRDefault="002664E4" w:rsidP="002664E4">
      <w:pPr>
        <w:rPr>
          <w:rStyle w:val="apple-style-span"/>
          <w:sz w:val="22"/>
          <w:szCs w:val="22"/>
          <w:lang w:val="en-US"/>
        </w:rPr>
      </w:pPr>
    </w:p>
    <w:p w:rsidR="002664E4" w:rsidRDefault="002664E4" w:rsidP="002664E4">
      <w:pPr>
        <w:tabs>
          <w:tab w:val="left" w:pos="426"/>
        </w:tabs>
        <w:ind w:left="-709" w:firstLine="709"/>
        <w:jc w:val="both"/>
        <w:rPr>
          <w:rStyle w:val="apple-style-span"/>
          <w:b/>
          <w:sz w:val="22"/>
          <w:szCs w:val="22"/>
          <w:shd w:val="clear" w:color="auto" w:fill="FFFFFF"/>
          <w:lang w:val="en-US"/>
        </w:rPr>
      </w:pPr>
      <w:r>
        <w:rPr>
          <w:rStyle w:val="apple-style-span"/>
          <w:b/>
          <w:sz w:val="22"/>
          <w:szCs w:val="22"/>
          <w:shd w:val="clear" w:color="auto" w:fill="FFFFFF"/>
          <w:lang w:val="en-US"/>
        </w:rPr>
        <w:t>Performance indicators</w:t>
      </w:r>
    </w:p>
    <w:p w:rsidR="00EF2F67" w:rsidRPr="00FD3A9E" w:rsidRDefault="00EF2F67" w:rsidP="002664E4">
      <w:pPr>
        <w:tabs>
          <w:tab w:val="left" w:pos="426"/>
        </w:tabs>
        <w:ind w:left="-709" w:firstLine="709"/>
        <w:jc w:val="both"/>
        <w:rPr>
          <w:rStyle w:val="apple-style-span"/>
          <w:b/>
          <w:sz w:val="22"/>
          <w:szCs w:val="22"/>
          <w:shd w:val="clear" w:color="auto" w:fill="FFFFFF"/>
          <w:lang w:val="en-US"/>
        </w:rPr>
      </w:pPr>
    </w:p>
    <w:p w:rsidR="00E76E76" w:rsidRPr="00334790" w:rsidRDefault="00EF2F67" w:rsidP="002664E4">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344B3E" w:rsidRPr="00334790" w:rsidRDefault="00344B3E" w:rsidP="002664E4">
      <w:pPr>
        <w:tabs>
          <w:tab w:val="left" w:pos="426"/>
        </w:tabs>
        <w:ind w:left="-709" w:firstLine="709"/>
        <w:jc w:val="both"/>
        <w:rPr>
          <w:rStyle w:val="apple-style-span"/>
          <w:b/>
          <w:color w:val="FF0000"/>
          <w:sz w:val="22"/>
          <w:szCs w:val="22"/>
          <w:shd w:val="clear" w:color="auto" w:fill="FFFFFF"/>
          <w:lang w:val="en-US"/>
        </w:rPr>
      </w:pPr>
    </w:p>
    <w:tbl>
      <w:tblPr>
        <w:tblW w:w="9782" w:type="dxa"/>
        <w:jc w:val="center"/>
        <w:tblInd w:w="-601" w:type="dxa"/>
        <w:tblLayout w:type="fixed"/>
        <w:tblLook w:val="04A0" w:firstRow="1" w:lastRow="0" w:firstColumn="1" w:lastColumn="0" w:noHBand="0" w:noVBand="1"/>
      </w:tblPr>
      <w:tblGrid>
        <w:gridCol w:w="3261"/>
        <w:gridCol w:w="1134"/>
        <w:gridCol w:w="1276"/>
        <w:gridCol w:w="1276"/>
        <w:gridCol w:w="2835"/>
      </w:tblGrid>
      <w:tr w:rsidR="002664E4" w:rsidRPr="00344B3E" w:rsidTr="00344B3E">
        <w:trPr>
          <w:trHeight w:val="447"/>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344B3E" w:rsidRDefault="002664E4" w:rsidP="00770BC8">
            <w:pPr>
              <w:jc w:val="center"/>
              <w:rPr>
                <w:b/>
                <w:bCs/>
                <w:sz w:val="18"/>
                <w:szCs w:val="18"/>
                <w:lang w:val="en-US"/>
              </w:rPr>
            </w:pPr>
            <w:r w:rsidRPr="00344B3E">
              <w:rPr>
                <w:b/>
                <w:bCs/>
                <w:sz w:val="18"/>
                <w:szCs w:val="18"/>
                <w:lang w:val="en-US"/>
              </w:rPr>
              <w:t>KPI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664E4" w:rsidRPr="00344B3E" w:rsidRDefault="00EF2F67" w:rsidP="00770BC8">
            <w:pPr>
              <w:jc w:val="center"/>
              <w:rPr>
                <w:b/>
                <w:bCs/>
                <w:sz w:val="18"/>
                <w:szCs w:val="18"/>
                <w:lang w:val="en-US"/>
              </w:rPr>
            </w:pPr>
            <w:r w:rsidRPr="00344B3E">
              <w:rPr>
                <w:b/>
                <w:bCs/>
                <w:sz w:val="18"/>
                <w:szCs w:val="18"/>
                <w:lang w:val="en-US"/>
              </w:rPr>
              <w:t>H1 2012</w:t>
            </w:r>
            <w:r w:rsidR="002664E4" w:rsidRPr="00344B3E">
              <w:rPr>
                <w:b/>
                <w:bCs/>
                <w:sz w:val="18"/>
                <w:szCs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2664E4" w:rsidRPr="00344B3E" w:rsidRDefault="00EF2F67" w:rsidP="00770BC8">
            <w:pPr>
              <w:jc w:val="center"/>
              <w:rPr>
                <w:b/>
                <w:bCs/>
                <w:sz w:val="18"/>
                <w:szCs w:val="18"/>
                <w:lang w:val="en-US"/>
              </w:rPr>
            </w:pPr>
            <w:r w:rsidRPr="00344B3E">
              <w:rPr>
                <w:b/>
                <w:bCs/>
                <w:sz w:val="18"/>
                <w:szCs w:val="18"/>
                <w:lang w:val="en-US"/>
              </w:rPr>
              <w:t>H1 2011</w:t>
            </w:r>
            <w:r w:rsidR="002664E4" w:rsidRPr="00344B3E">
              <w:rPr>
                <w:b/>
                <w:bCs/>
                <w:sz w:val="18"/>
                <w:szCs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344B3E" w:rsidRDefault="00EF2F67" w:rsidP="00770BC8">
            <w:pPr>
              <w:jc w:val="center"/>
              <w:rPr>
                <w:b/>
                <w:bCs/>
                <w:sz w:val="18"/>
                <w:szCs w:val="18"/>
                <w:lang w:val="en-US"/>
              </w:rPr>
            </w:pPr>
            <w:r w:rsidRPr="00344B3E">
              <w:rPr>
                <w:b/>
                <w:bCs/>
                <w:sz w:val="18"/>
                <w:szCs w:val="18"/>
                <w:lang w:val="en-US"/>
              </w:rPr>
              <w:t xml:space="preserve">H1 </w:t>
            </w:r>
            <w:r w:rsidR="002664E4" w:rsidRPr="00344B3E">
              <w:rPr>
                <w:b/>
                <w:bCs/>
                <w:sz w:val="18"/>
                <w:szCs w:val="18"/>
                <w:lang w:val="en-US"/>
              </w:rPr>
              <w:t>201</w:t>
            </w:r>
            <w:r w:rsidRPr="00344B3E">
              <w:rPr>
                <w:b/>
                <w:bCs/>
                <w:sz w:val="18"/>
                <w:szCs w:val="18"/>
                <w:lang w:val="en-US"/>
              </w:rPr>
              <w:t>2</w:t>
            </w:r>
            <w:r w:rsidR="002664E4" w:rsidRPr="00344B3E">
              <w:rPr>
                <w:b/>
                <w:bCs/>
                <w:sz w:val="18"/>
                <w:szCs w:val="18"/>
                <w:lang w:val="en-US"/>
              </w:rPr>
              <w:t xml:space="preserve"> </w:t>
            </w:r>
            <w:r w:rsidRPr="00344B3E">
              <w:rPr>
                <w:b/>
                <w:bCs/>
                <w:sz w:val="18"/>
                <w:szCs w:val="18"/>
                <w:lang w:val="en-US"/>
              </w:rPr>
              <w:t>–</w:t>
            </w:r>
            <w:r w:rsidR="002664E4" w:rsidRPr="00344B3E">
              <w:rPr>
                <w:b/>
                <w:bCs/>
                <w:sz w:val="18"/>
                <w:szCs w:val="18"/>
                <w:lang w:val="en-US"/>
              </w:rPr>
              <w:t xml:space="preserve"> </w:t>
            </w:r>
            <w:r w:rsidRPr="00344B3E">
              <w:rPr>
                <w:b/>
                <w:bCs/>
                <w:sz w:val="18"/>
                <w:szCs w:val="18"/>
                <w:lang w:val="en-US"/>
              </w:rPr>
              <w:t xml:space="preserve">H1 </w:t>
            </w:r>
            <w:r w:rsidR="002664E4" w:rsidRPr="00344B3E">
              <w:rPr>
                <w:b/>
                <w:bCs/>
                <w:sz w:val="18"/>
                <w:szCs w:val="18"/>
                <w:lang w:val="en-US"/>
              </w:rPr>
              <w:t>201</w:t>
            </w:r>
            <w:r w:rsidRPr="00344B3E">
              <w:rPr>
                <w:b/>
                <w:bCs/>
                <w:sz w:val="18"/>
                <w:szCs w:val="18"/>
                <w:lang w:val="en-US"/>
              </w:rPr>
              <w:t>1</w:t>
            </w:r>
            <w:r w:rsidR="002664E4" w:rsidRPr="00344B3E">
              <w:rPr>
                <w:b/>
                <w:bCs/>
                <w:sz w:val="18"/>
                <w:szCs w:val="18"/>
                <w:lang w:val="en-US"/>
              </w:rPr>
              <w:t xml:space="preserve">, </w:t>
            </w:r>
          </w:p>
          <w:p w:rsidR="002664E4" w:rsidRPr="00344B3E" w:rsidRDefault="002664E4" w:rsidP="00770BC8">
            <w:pPr>
              <w:jc w:val="center"/>
              <w:rPr>
                <w:b/>
                <w:bCs/>
                <w:sz w:val="18"/>
                <w:szCs w:val="18"/>
                <w:lang w:val="en-US"/>
              </w:rPr>
            </w:pPr>
            <w:r w:rsidRPr="00344B3E">
              <w:rPr>
                <w:b/>
                <w:bCs/>
                <w:sz w:val="18"/>
                <w:szCs w:val="18"/>
                <w:lang w:val="en-US"/>
              </w:rPr>
              <w:t>in %</w:t>
            </w:r>
          </w:p>
        </w:tc>
        <w:tc>
          <w:tcPr>
            <w:tcW w:w="2835" w:type="dxa"/>
            <w:tcBorders>
              <w:top w:val="single" w:sz="4" w:space="0" w:color="auto"/>
              <w:left w:val="nil"/>
              <w:bottom w:val="single" w:sz="4" w:space="0" w:color="auto"/>
              <w:right w:val="single" w:sz="4" w:space="0" w:color="auto"/>
            </w:tcBorders>
            <w:vAlign w:val="center"/>
          </w:tcPr>
          <w:p w:rsidR="002664E4" w:rsidRPr="00344B3E" w:rsidRDefault="002664E4" w:rsidP="00770BC8">
            <w:pPr>
              <w:jc w:val="center"/>
              <w:rPr>
                <w:b/>
                <w:bCs/>
                <w:sz w:val="18"/>
                <w:szCs w:val="18"/>
                <w:lang w:val="en-US"/>
              </w:rPr>
            </w:pPr>
            <w:r w:rsidRPr="00344B3E">
              <w:rPr>
                <w:b/>
                <w:bCs/>
                <w:sz w:val="18"/>
                <w:szCs w:val="18"/>
                <w:lang w:val="en-US"/>
              </w:rPr>
              <w:t>Factors</w:t>
            </w:r>
          </w:p>
        </w:tc>
      </w:tr>
      <w:tr w:rsidR="0038271F" w:rsidRPr="00353DB4" w:rsidTr="00344B3E">
        <w:trPr>
          <w:trHeight w:val="447"/>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rPr>
                <w:sz w:val="18"/>
                <w:szCs w:val="18"/>
                <w:lang w:val="en-US"/>
              </w:rPr>
            </w:pPr>
            <w:r w:rsidRPr="00344B3E">
              <w:rPr>
                <w:sz w:val="18"/>
                <w:szCs w:val="18"/>
                <w:lang w:val="en-US"/>
              </w:rPr>
              <w:t>Volume of the uranium output of JSC “NAC “</w:t>
            </w:r>
            <w:proofErr w:type="spellStart"/>
            <w:r w:rsidRPr="00344B3E">
              <w:rPr>
                <w:sz w:val="18"/>
                <w:szCs w:val="18"/>
                <w:lang w:val="en-US"/>
              </w:rPr>
              <w:t>Kazatomprom</w:t>
            </w:r>
            <w:proofErr w:type="spellEnd"/>
            <w:r w:rsidRPr="00344B3E">
              <w:rPr>
                <w:sz w:val="18"/>
                <w:szCs w:val="18"/>
                <w:lang w:val="en-US"/>
              </w:rPr>
              <w:t xml:space="preserve">”, </w:t>
            </w:r>
            <w:proofErr w:type="spellStart"/>
            <w:r w:rsidRPr="00344B3E">
              <w:rPr>
                <w:sz w:val="18"/>
                <w:szCs w:val="18"/>
                <w:lang w:val="en-US"/>
              </w:rPr>
              <w:t>thous</w:t>
            </w:r>
            <w:proofErr w:type="spellEnd"/>
            <w:r w:rsidRPr="00344B3E">
              <w:rPr>
                <w:sz w:val="18"/>
                <w:szCs w:val="18"/>
                <w:lang w:val="en-US"/>
              </w:rPr>
              <w:t>. tons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rPr>
            </w:pPr>
            <w:r w:rsidRPr="00344B3E">
              <w:rPr>
                <w:sz w:val="18"/>
                <w:szCs w:val="18"/>
              </w:rPr>
              <w:t>9,652</w:t>
            </w:r>
          </w:p>
        </w:tc>
        <w:tc>
          <w:tcPr>
            <w:tcW w:w="1276" w:type="dxa"/>
            <w:tcBorders>
              <w:top w:val="single" w:sz="4" w:space="0" w:color="auto"/>
              <w:left w:val="single" w:sz="4" w:space="0" w:color="auto"/>
              <w:bottom w:val="single" w:sz="4" w:space="0" w:color="auto"/>
              <w:right w:val="single" w:sz="4" w:space="0" w:color="auto"/>
            </w:tcBorders>
            <w:vAlign w:val="center"/>
          </w:tcPr>
          <w:p w:rsidR="0038271F" w:rsidRPr="00344B3E" w:rsidRDefault="0038271F" w:rsidP="009F0E44">
            <w:pPr>
              <w:jc w:val="center"/>
              <w:rPr>
                <w:sz w:val="18"/>
                <w:szCs w:val="18"/>
              </w:rPr>
            </w:pPr>
          </w:p>
          <w:p w:rsidR="0038271F" w:rsidRPr="00344B3E" w:rsidRDefault="0038271F" w:rsidP="009F0E44">
            <w:pPr>
              <w:jc w:val="center"/>
              <w:rPr>
                <w:sz w:val="18"/>
                <w:szCs w:val="18"/>
              </w:rPr>
            </w:pPr>
            <w:r w:rsidRPr="00344B3E">
              <w:rPr>
                <w:sz w:val="18"/>
                <w:szCs w:val="18"/>
              </w:rPr>
              <w:t>8,965</w:t>
            </w:r>
          </w:p>
          <w:p w:rsidR="0038271F" w:rsidRPr="00344B3E" w:rsidRDefault="0038271F" w:rsidP="009F0E44">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rPr>
            </w:pPr>
            <w:r w:rsidRPr="00344B3E">
              <w:rPr>
                <w:sz w:val="18"/>
                <w:szCs w:val="18"/>
              </w:rPr>
              <w:t>107,7</w:t>
            </w:r>
          </w:p>
        </w:tc>
        <w:tc>
          <w:tcPr>
            <w:tcW w:w="2835" w:type="dxa"/>
            <w:tcBorders>
              <w:top w:val="nil"/>
              <w:left w:val="nil"/>
              <w:bottom w:val="single" w:sz="4" w:space="0" w:color="auto"/>
              <w:right w:val="single" w:sz="4" w:space="0" w:color="auto"/>
            </w:tcBorders>
            <w:vAlign w:val="center"/>
          </w:tcPr>
          <w:p w:rsidR="0038271F" w:rsidRPr="00344B3E" w:rsidRDefault="0038271F" w:rsidP="009F0E44">
            <w:pPr>
              <w:rPr>
                <w:sz w:val="18"/>
                <w:szCs w:val="18"/>
                <w:lang w:val="en-US"/>
              </w:rPr>
            </w:pPr>
            <w:r w:rsidRPr="00344B3E">
              <w:rPr>
                <w:sz w:val="18"/>
                <w:szCs w:val="18"/>
                <w:lang w:val="en-US"/>
              </w:rPr>
              <w:t>The planned output of  LLP «</w:t>
            </w:r>
            <w:proofErr w:type="spellStart"/>
            <w:r w:rsidRPr="00344B3E">
              <w:rPr>
                <w:sz w:val="18"/>
                <w:szCs w:val="18"/>
                <w:lang w:val="en-US"/>
              </w:rPr>
              <w:t>Katko</w:t>
            </w:r>
            <w:proofErr w:type="spellEnd"/>
            <w:r w:rsidRPr="00344B3E">
              <w:rPr>
                <w:sz w:val="18"/>
                <w:szCs w:val="18"/>
                <w:lang w:val="en-US"/>
              </w:rPr>
              <w:t>», JSC «</w:t>
            </w:r>
            <w:proofErr w:type="spellStart"/>
            <w:r w:rsidRPr="00344B3E">
              <w:rPr>
                <w:sz w:val="18"/>
                <w:szCs w:val="18"/>
                <w:lang w:val="en-US"/>
              </w:rPr>
              <w:t>Akbastau</w:t>
            </w:r>
            <w:proofErr w:type="spellEnd"/>
            <w:r w:rsidRPr="00344B3E">
              <w:rPr>
                <w:sz w:val="18"/>
                <w:szCs w:val="18"/>
                <w:lang w:val="en-US"/>
              </w:rPr>
              <w:t>», LLP, «</w:t>
            </w:r>
            <w:proofErr w:type="spellStart"/>
            <w:r w:rsidRPr="00344B3E">
              <w:rPr>
                <w:sz w:val="18"/>
                <w:szCs w:val="18"/>
                <w:lang w:val="en-US"/>
              </w:rPr>
              <w:t>Kyzylkum</w:t>
            </w:r>
            <w:proofErr w:type="spellEnd"/>
            <w:r w:rsidRPr="00344B3E">
              <w:rPr>
                <w:sz w:val="18"/>
                <w:szCs w:val="18"/>
                <w:lang w:val="en-US"/>
              </w:rPr>
              <w:t>», LLP «</w:t>
            </w:r>
            <w:proofErr w:type="spellStart"/>
            <w:r w:rsidRPr="00344B3E">
              <w:rPr>
                <w:sz w:val="18"/>
                <w:szCs w:val="18"/>
                <w:lang w:val="en-US"/>
              </w:rPr>
              <w:t>Baiken</w:t>
            </w:r>
            <w:proofErr w:type="spellEnd"/>
            <w:r w:rsidRPr="00344B3E">
              <w:rPr>
                <w:sz w:val="18"/>
                <w:szCs w:val="18"/>
                <w:lang w:val="en-US"/>
              </w:rPr>
              <w:t xml:space="preserve"> U» at full capacity</w:t>
            </w:r>
          </w:p>
        </w:tc>
      </w:tr>
      <w:tr w:rsidR="0038271F" w:rsidRPr="00344B3E" w:rsidTr="00344B3E">
        <w:trPr>
          <w:trHeight w:val="279"/>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rPr>
                <w:sz w:val="18"/>
                <w:szCs w:val="18"/>
              </w:rPr>
            </w:pPr>
            <w:proofErr w:type="spellStart"/>
            <w:r w:rsidRPr="00344B3E">
              <w:rPr>
                <w:sz w:val="18"/>
                <w:szCs w:val="18"/>
              </w:rPr>
              <w:t>Number</w:t>
            </w:r>
            <w:proofErr w:type="spellEnd"/>
            <w:r w:rsidRPr="00344B3E">
              <w:rPr>
                <w:sz w:val="18"/>
                <w:szCs w:val="18"/>
              </w:rPr>
              <w:t xml:space="preserve"> </w:t>
            </w:r>
            <w:proofErr w:type="spellStart"/>
            <w:r w:rsidRPr="00344B3E">
              <w:rPr>
                <w:sz w:val="18"/>
                <w:szCs w:val="18"/>
              </w:rPr>
              <w:t>of</w:t>
            </w:r>
            <w:proofErr w:type="spellEnd"/>
            <w:r w:rsidRPr="00344B3E">
              <w:rPr>
                <w:sz w:val="18"/>
                <w:szCs w:val="18"/>
              </w:rPr>
              <w:t xml:space="preserve"> </w:t>
            </w:r>
            <w:proofErr w:type="spellStart"/>
            <w:r w:rsidRPr="00344B3E">
              <w:rPr>
                <w:sz w:val="18"/>
                <w:szCs w:val="18"/>
              </w:rPr>
              <w:t>accidents</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rPr>
            </w:pPr>
            <w:r w:rsidRPr="00344B3E">
              <w:rPr>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8271F" w:rsidRPr="00344B3E" w:rsidRDefault="0038271F" w:rsidP="009F0E44">
            <w:pPr>
              <w:jc w:val="center"/>
              <w:rPr>
                <w:color w:val="000000"/>
                <w:sz w:val="18"/>
                <w:szCs w:val="18"/>
              </w:rPr>
            </w:pPr>
            <w:r w:rsidRPr="00344B3E">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rPr>
            </w:pPr>
            <w:r w:rsidRPr="00344B3E">
              <w:rPr>
                <w:sz w:val="18"/>
                <w:szCs w:val="18"/>
              </w:rPr>
              <w:t>-</w:t>
            </w:r>
          </w:p>
        </w:tc>
        <w:tc>
          <w:tcPr>
            <w:tcW w:w="2835" w:type="dxa"/>
            <w:tcBorders>
              <w:top w:val="single" w:sz="4" w:space="0" w:color="auto"/>
              <w:left w:val="nil"/>
              <w:bottom w:val="single" w:sz="4" w:space="0" w:color="auto"/>
              <w:right w:val="single" w:sz="4" w:space="0" w:color="auto"/>
            </w:tcBorders>
            <w:vAlign w:val="center"/>
          </w:tcPr>
          <w:p w:rsidR="0038271F" w:rsidRPr="00344B3E" w:rsidRDefault="0038271F" w:rsidP="009F0E44">
            <w:pPr>
              <w:rPr>
                <w:sz w:val="18"/>
                <w:szCs w:val="18"/>
                <w:lang w:val="en-US"/>
              </w:rPr>
            </w:pPr>
          </w:p>
        </w:tc>
      </w:tr>
      <w:tr w:rsidR="0038271F" w:rsidRPr="00353DB4" w:rsidTr="00344B3E">
        <w:trPr>
          <w:trHeight w:val="279"/>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rPr>
                <w:sz w:val="18"/>
                <w:szCs w:val="18"/>
                <w:lang w:val="en-US"/>
              </w:rPr>
            </w:pPr>
            <w:r w:rsidRPr="00344B3E">
              <w:rPr>
                <w:sz w:val="18"/>
                <w:szCs w:val="18"/>
                <w:lang w:val="en-US"/>
              </w:rPr>
              <w:t xml:space="preserve">Average number of employees, </w:t>
            </w:r>
            <w:proofErr w:type="spellStart"/>
            <w:r w:rsidRPr="00344B3E">
              <w:rPr>
                <w:sz w:val="18"/>
                <w:szCs w:val="18"/>
                <w:lang w:val="en-US"/>
              </w:rPr>
              <w:t>thous</w:t>
            </w:r>
            <w:proofErr w:type="spellEnd"/>
            <w:r w:rsidR="001241B5" w:rsidRPr="00344B3E">
              <w:rPr>
                <w:sz w:val="18"/>
                <w:szCs w:val="18"/>
                <w:lang w:val="en-US"/>
              </w:rPr>
              <w:t>.</w:t>
            </w:r>
            <w:r w:rsidRPr="00344B3E">
              <w:rPr>
                <w:sz w:val="18"/>
                <w:szCs w:val="18"/>
                <w:lang w:val="en-US"/>
              </w:rPr>
              <w:t xml:space="preserve"> persons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lang w:val="en-US"/>
              </w:rPr>
            </w:pPr>
          </w:p>
          <w:p w:rsidR="0038271F" w:rsidRPr="00344B3E" w:rsidRDefault="0038271F" w:rsidP="009F0E44">
            <w:pPr>
              <w:jc w:val="center"/>
              <w:rPr>
                <w:sz w:val="18"/>
                <w:szCs w:val="18"/>
                <w:lang w:val="en-US"/>
              </w:rPr>
            </w:pPr>
            <w:r w:rsidRPr="00344B3E">
              <w:rPr>
                <w:sz w:val="18"/>
                <w:szCs w:val="18"/>
                <w:lang w:val="en-US"/>
              </w:rPr>
              <w:t>20,989</w:t>
            </w:r>
          </w:p>
          <w:p w:rsidR="0038271F" w:rsidRPr="00344B3E" w:rsidRDefault="0038271F" w:rsidP="009F0E44">
            <w:pPr>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38271F" w:rsidRPr="00344B3E" w:rsidRDefault="0038271F" w:rsidP="009F0E44">
            <w:pPr>
              <w:jc w:val="center"/>
              <w:rPr>
                <w:sz w:val="18"/>
                <w:szCs w:val="18"/>
                <w:lang w:val="en-US"/>
              </w:rPr>
            </w:pPr>
          </w:p>
          <w:p w:rsidR="0038271F" w:rsidRPr="00344B3E" w:rsidRDefault="0038271F" w:rsidP="009F0E44">
            <w:pPr>
              <w:jc w:val="center"/>
              <w:rPr>
                <w:sz w:val="18"/>
                <w:szCs w:val="18"/>
                <w:lang w:val="en-US"/>
              </w:rPr>
            </w:pPr>
            <w:r w:rsidRPr="00344B3E">
              <w:rPr>
                <w:sz w:val="18"/>
                <w:szCs w:val="18"/>
                <w:lang w:val="en-US"/>
              </w:rPr>
              <w:t>19,702</w:t>
            </w:r>
          </w:p>
          <w:p w:rsidR="0038271F" w:rsidRPr="00344B3E" w:rsidRDefault="0038271F" w:rsidP="009F0E44">
            <w:pPr>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1F" w:rsidRPr="00344B3E" w:rsidRDefault="0038271F" w:rsidP="009F0E44">
            <w:pPr>
              <w:jc w:val="center"/>
              <w:rPr>
                <w:sz w:val="18"/>
                <w:szCs w:val="18"/>
                <w:lang w:val="en-US"/>
              </w:rPr>
            </w:pPr>
            <w:r w:rsidRPr="00344B3E">
              <w:rPr>
                <w:sz w:val="18"/>
                <w:szCs w:val="18"/>
                <w:lang w:val="en-US"/>
              </w:rPr>
              <w:t>106,5</w:t>
            </w:r>
          </w:p>
        </w:tc>
        <w:tc>
          <w:tcPr>
            <w:tcW w:w="2835" w:type="dxa"/>
            <w:tcBorders>
              <w:top w:val="single" w:sz="4" w:space="0" w:color="auto"/>
              <w:left w:val="nil"/>
              <w:bottom w:val="single" w:sz="4" w:space="0" w:color="auto"/>
              <w:right w:val="single" w:sz="4" w:space="0" w:color="auto"/>
            </w:tcBorders>
            <w:vAlign w:val="center"/>
          </w:tcPr>
          <w:p w:rsidR="0038271F" w:rsidRPr="00344B3E" w:rsidRDefault="0038271F" w:rsidP="009F0E44">
            <w:pPr>
              <w:rPr>
                <w:sz w:val="18"/>
                <w:szCs w:val="18"/>
                <w:lang w:val="en-US"/>
              </w:rPr>
            </w:pPr>
            <w:r w:rsidRPr="00344B3E">
              <w:rPr>
                <w:sz w:val="18"/>
                <w:szCs w:val="18"/>
                <w:lang w:val="en-US"/>
              </w:rPr>
              <w:t>There have been created and purchased six new companies as the result of implementation of new projects in the field of alternative energy and rare earth metals.</w:t>
            </w:r>
          </w:p>
          <w:p w:rsidR="0038271F" w:rsidRPr="00344B3E" w:rsidRDefault="0038271F" w:rsidP="009F0E44">
            <w:pPr>
              <w:rPr>
                <w:sz w:val="18"/>
                <w:szCs w:val="18"/>
                <w:lang w:val="en-US"/>
              </w:rPr>
            </w:pPr>
            <w:r w:rsidRPr="00344B3E">
              <w:rPr>
                <w:sz w:val="18"/>
                <w:szCs w:val="18"/>
                <w:lang w:val="en-US"/>
              </w:rPr>
              <w:t>In addition, production assets LLP Subsidiary “</w:t>
            </w:r>
            <w:proofErr w:type="spellStart"/>
            <w:r w:rsidRPr="00344B3E">
              <w:rPr>
                <w:sz w:val="18"/>
                <w:szCs w:val="18"/>
                <w:lang w:val="en-US"/>
              </w:rPr>
              <w:t>Ortalyk</w:t>
            </w:r>
            <w:proofErr w:type="spellEnd"/>
            <w:r w:rsidRPr="00344B3E">
              <w:rPr>
                <w:sz w:val="18"/>
                <w:szCs w:val="18"/>
                <w:lang w:val="en-US"/>
              </w:rPr>
              <w:t>” acquired in late 2011 was also included.</w:t>
            </w:r>
          </w:p>
        </w:tc>
      </w:tr>
    </w:tbl>
    <w:p w:rsidR="00344B3E" w:rsidRPr="00334790" w:rsidRDefault="00344B3E" w:rsidP="009F0E44">
      <w:pPr>
        <w:tabs>
          <w:tab w:val="left" w:pos="426"/>
        </w:tabs>
        <w:autoSpaceDE w:val="0"/>
        <w:autoSpaceDN w:val="0"/>
        <w:adjustRightInd w:val="0"/>
        <w:ind w:left="-709" w:firstLine="709"/>
        <w:rPr>
          <w:rStyle w:val="apple-style-span"/>
          <w:sz w:val="22"/>
          <w:szCs w:val="22"/>
          <w:shd w:val="clear" w:color="auto" w:fill="FFFFFF"/>
          <w:lang w:val="en-US"/>
        </w:rPr>
      </w:pPr>
    </w:p>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sidRPr="00CA4D27">
        <w:rPr>
          <w:rStyle w:val="apple-style-span"/>
          <w:sz w:val="22"/>
          <w:szCs w:val="22"/>
          <w:shd w:val="clear" w:color="auto" w:fill="FFFFFF"/>
          <w:lang w:val="en-US"/>
        </w:rPr>
        <w:t xml:space="preserve">Change </w:t>
      </w:r>
      <w:r>
        <w:rPr>
          <w:rStyle w:val="apple-style-span"/>
          <w:sz w:val="22"/>
          <w:szCs w:val="22"/>
          <w:shd w:val="clear" w:color="auto" w:fill="FFFFFF"/>
          <w:lang w:val="en-US"/>
        </w:rPr>
        <w:t xml:space="preserve">in </w:t>
      </w:r>
      <w:r w:rsidRPr="00CA4D27">
        <w:rPr>
          <w:rStyle w:val="apple-style-span"/>
          <w:sz w:val="22"/>
          <w:szCs w:val="22"/>
          <w:shd w:val="clear" w:color="auto" w:fill="FFFFFF"/>
          <w:lang w:val="en-US"/>
        </w:rPr>
        <w:t xml:space="preserve">the financial results in </w:t>
      </w:r>
      <w:r w:rsidR="000A43AE">
        <w:rPr>
          <w:rStyle w:val="apple-style-span"/>
          <w:sz w:val="22"/>
          <w:szCs w:val="22"/>
          <w:shd w:val="clear" w:color="auto" w:fill="FFFFFF"/>
          <w:lang w:val="en-US"/>
        </w:rPr>
        <w:t>H1 2012</w:t>
      </w:r>
      <w:r w:rsidRPr="00CA4D27">
        <w:rPr>
          <w:rStyle w:val="apple-style-span"/>
          <w:sz w:val="22"/>
          <w:szCs w:val="22"/>
          <w:shd w:val="clear" w:color="auto" w:fill="FFFFFF"/>
          <w:lang w:val="en-US"/>
        </w:rPr>
        <w:t xml:space="preserve"> compared to </w:t>
      </w:r>
      <w:r w:rsidR="000A43AE">
        <w:rPr>
          <w:rStyle w:val="apple-style-span"/>
          <w:sz w:val="22"/>
          <w:szCs w:val="22"/>
          <w:shd w:val="clear" w:color="auto" w:fill="FFFFFF"/>
          <w:lang w:val="en-US"/>
        </w:rPr>
        <w:t>the same period of 2011</w:t>
      </w:r>
      <w:r w:rsidRPr="00CA4D27">
        <w:rPr>
          <w:rStyle w:val="apple-style-span"/>
          <w:sz w:val="22"/>
          <w:szCs w:val="22"/>
          <w:shd w:val="clear" w:color="auto" w:fill="FFFFFF"/>
          <w:lang w:val="en-US"/>
        </w:rPr>
        <w:t xml:space="preserve"> </w:t>
      </w:r>
      <w:r>
        <w:rPr>
          <w:rStyle w:val="apple-style-span"/>
          <w:sz w:val="22"/>
          <w:szCs w:val="22"/>
          <w:shd w:val="clear" w:color="auto" w:fill="FFFFFF"/>
          <w:lang w:val="en-US"/>
        </w:rPr>
        <w:t>on</w:t>
      </w:r>
      <w:r w:rsidRPr="00CA4D27">
        <w:rPr>
          <w:rStyle w:val="apple-style-span"/>
          <w:sz w:val="22"/>
          <w:szCs w:val="22"/>
          <w:shd w:val="clear" w:color="auto" w:fill="FFFFFF"/>
          <w:lang w:val="en-US"/>
        </w:rPr>
        <w:t xml:space="preserve"> this sector</w:t>
      </w:r>
      <w:r>
        <w:rPr>
          <w:rStyle w:val="apple-style-span"/>
          <w:sz w:val="22"/>
          <w:szCs w:val="22"/>
          <w:shd w:val="clear" w:color="auto" w:fill="FFFFFF"/>
          <w:lang w:val="en-US"/>
        </w:rPr>
        <w:t xml:space="preserve"> was</w:t>
      </w:r>
      <w:r w:rsidRPr="00CA4D27">
        <w:rPr>
          <w:rStyle w:val="apple-style-span"/>
          <w:sz w:val="22"/>
          <w:szCs w:val="22"/>
          <w:shd w:val="clear" w:color="auto" w:fill="FFFFFF"/>
          <w:lang w:val="en-US"/>
        </w:rPr>
        <w:t xml:space="preserve"> mainly influenced by the results of industrial activity </w:t>
      </w:r>
      <w:r>
        <w:rPr>
          <w:rStyle w:val="apple-style-span"/>
          <w:sz w:val="22"/>
          <w:szCs w:val="22"/>
          <w:shd w:val="clear" w:color="auto" w:fill="FFFFFF"/>
          <w:lang w:val="en-US"/>
        </w:rPr>
        <w:t>of K</w:t>
      </w:r>
      <w:r w:rsidRPr="00CA4D27">
        <w:rPr>
          <w:rStyle w:val="apple-style-span"/>
          <w:sz w:val="22"/>
          <w:szCs w:val="22"/>
          <w:shd w:val="clear" w:color="auto" w:fill="FFFFFF"/>
          <w:lang w:val="en-US"/>
        </w:rPr>
        <w:t xml:space="preserve">AP, as Tau-Ken </w:t>
      </w:r>
      <w:proofErr w:type="spellStart"/>
      <w:r w:rsidRPr="00CA4D27">
        <w:rPr>
          <w:rStyle w:val="apple-style-span"/>
          <w:sz w:val="22"/>
          <w:szCs w:val="22"/>
          <w:shd w:val="clear" w:color="auto" w:fill="FFFFFF"/>
          <w:lang w:val="en-US"/>
        </w:rPr>
        <w:t>Samruk</w:t>
      </w:r>
      <w:proofErr w:type="spellEnd"/>
      <w:r w:rsidRPr="00CA4D27">
        <w:rPr>
          <w:rStyle w:val="apple-style-span"/>
          <w:sz w:val="22"/>
          <w:szCs w:val="22"/>
          <w:shd w:val="clear" w:color="auto" w:fill="FFFFFF"/>
          <w:lang w:val="en-US"/>
        </w:rPr>
        <w:t xml:space="preserve">, UCC, </w:t>
      </w:r>
      <w:proofErr w:type="spellStart"/>
      <w:r w:rsidRPr="00CA4D27">
        <w:rPr>
          <w:rStyle w:val="apple-style-span"/>
          <w:sz w:val="22"/>
          <w:szCs w:val="22"/>
          <w:shd w:val="clear" w:color="auto" w:fill="FFFFFF"/>
          <w:lang w:val="en-US"/>
        </w:rPr>
        <w:t>Kazgeologiya</w:t>
      </w:r>
      <w:proofErr w:type="spellEnd"/>
      <w:r w:rsidR="001241B5">
        <w:rPr>
          <w:rStyle w:val="apple-style-span"/>
          <w:sz w:val="22"/>
          <w:szCs w:val="22"/>
          <w:shd w:val="clear" w:color="auto" w:fill="FFFFFF"/>
          <w:lang w:val="en-US"/>
        </w:rPr>
        <w:t>,</w:t>
      </w:r>
      <w:r w:rsidRPr="00CA4D27">
        <w:rPr>
          <w:rStyle w:val="apple-style-span"/>
          <w:sz w:val="22"/>
          <w:szCs w:val="22"/>
          <w:shd w:val="clear" w:color="auto" w:fill="FFFFFF"/>
          <w:lang w:val="en-US"/>
        </w:rPr>
        <w:t xml:space="preserve"> included in this segment</w:t>
      </w:r>
      <w:r w:rsidR="001241B5">
        <w:rPr>
          <w:rStyle w:val="apple-style-span"/>
          <w:sz w:val="22"/>
          <w:szCs w:val="22"/>
          <w:shd w:val="clear" w:color="auto" w:fill="FFFFFF"/>
          <w:lang w:val="en-US"/>
        </w:rPr>
        <w:t>,</w:t>
      </w:r>
      <w:r w:rsidRPr="00CA4D27">
        <w:rPr>
          <w:rStyle w:val="apple-style-span"/>
          <w:sz w:val="22"/>
          <w:szCs w:val="22"/>
          <w:shd w:val="clear" w:color="auto" w:fill="FFFFFF"/>
          <w:lang w:val="en-US"/>
        </w:rPr>
        <w:t xml:space="preserve"> did not conduct operational activity in </w:t>
      </w:r>
      <w:r w:rsidR="000A43AE">
        <w:rPr>
          <w:rStyle w:val="apple-style-span"/>
          <w:sz w:val="22"/>
          <w:szCs w:val="22"/>
          <w:shd w:val="clear" w:color="auto" w:fill="FFFFFF"/>
          <w:lang w:val="en-US"/>
        </w:rPr>
        <w:t>2011-2012</w:t>
      </w:r>
      <w:r w:rsidRPr="00CA4D27">
        <w:rPr>
          <w:rStyle w:val="apple-style-span"/>
          <w:sz w:val="22"/>
          <w:szCs w:val="22"/>
          <w:shd w:val="clear" w:color="auto" w:fill="FFFFFF"/>
          <w:lang w:val="en-US"/>
        </w:rPr>
        <w:t xml:space="preserve"> with the exception </w:t>
      </w:r>
      <w:r>
        <w:rPr>
          <w:rStyle w:val="apple-style-span"/>
          <w:sz w:val="22"/>
          <w:szCs w:val="22"/>
          <w:shd w:val="clear" w:color="auto" w:fill="FFFFFF"/>
          <w:lang w:val="en-US"/>
        </w:rPr>
        <w:t xml:space="preserve">of </w:t>
      </w:r>
      <w:r w:rsidRPr="00CA4D27">
        <w:rPr>
          <w:rStyle w:val="apple-style-span"/>
          <w:sz w:val="22"/>
          <w:szCs w:val="22"/>
          <w:shd w:val="clear" w:color="auto" w:fill="FFFFFF"/>
          <w:lang w:val="en-US"/>
        </w:rPr>
        <w:t>management and administration</w:t>
      </w:r>
      <w:r>
        <w:rPr>
          <w:rStyle w:val="apple-style-span"/>
          <w:sz w:val="22"/>
          <w:szCs w:val="22"/>
          <w:shd w:val="clear" w:color="auto" w:fill="FFFFFF"/>
          <w:lang w:val="en-US"/>
        </w:rPr>
        <w:t xml:space="preserve"> activity</w:t>
      </w:r>
      <w:r w:rsidRPr="00CA4D27">
        <w:rPr>
          <w:rStyle w:val="apple-style-span"/>
          <w:sz w:val="22"/>
          <w:szCs w:val="22"/>
          <w:shd w:val="clear" w:color="auto" w:fill="FFFFFF"/>
          <w:lang w:val="en-US"/>
        </w:rPr>
        <w:t xml:space="preserve">. </w:t>
      </w:r>
    </w:p>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Pr>
          <w:rStyle w:val="apple-style-span"/>
          <w:sz w:val="22"/>
          <w:szCs w:val="22"/>
          <w:shd w:val="clear" w:color="auto" w:fill="FFFFFF"/>
          <w:lang w:val="en-US"/>
        </w:rPr>
        <w:t xml:space="preserve">In </w:t>
      </w:r>
      <w:r w:rsidR="000A43AE">
        <w:rPr>
          <w:rStyle w:val="apple-style-span"/>
          <w:sz w:val="22"/>
          <w:szCs w:val="22"/>
          <w:shd w:val="clear" w:color="auto" w:fill="FFFFFF"/>
          <w:lang w:val="en-US"/>
        </w:rPr>
        <w:t>H1 2012</w:t>
      </w:r>
      <w:r>
        <w:rPr>
          <w:rStyle w:val="apple-style-span"/>
          <w:sz w:val="22"/>
          <w:szCs w:val="22"/>
          <w:shd w:val="clear" w:color="auto" w:fill="FFFFFF"/>
          <w:lang w:val="en-US"/>
        </w:rPr>
        <w:t xml:space="preserve"> losses of the companies amounted to: Tau-Ken Samruk – KZT </w:t>
      </w:r>
      <w:r w:rsidR="000A43AE">
        <w:rPr>
          <w:rStyle w:val="apple-style-span"/>
          <w:sz w:val="22"/>
          <w:szCs w:val="22"/>
          <w:shd w:val="clear" w:color="auto" w:fill="FFFFFF"/>
          <w:lang w:val="en-US"/>
        </w:rPr>
        <w:t>0.25</w:t>
      </w:r>
      <w:r>
        <w:rPr>
          <w:rStyle w:val="apple-style-span"/>
          <w:sz w:val="22"/>
          <w:szCs w:val="22"/>
          <w:shd w:val="clear" w:color="auto" w:fill="FFFFFF"/>
          <w:lang w:val="en-US"/>
        </w:rPr>
        <w:t xml:space="preserve"> </w:t>
      </w:r>
      <w:r w:rsidR="000A43AE">
        <w:rPr>
          <w:rStyle w:val="apple-style-span"/>
          <w:sz w:val="22"/>
          <w:szCs w:val="22"/>
          <w:shd w:val="clear" w:color="auto" w:fill="FFFFFF"/>
          <w:lang w:val="en-US"/>
        </w:rPr>
        <w:t>billion</w:t>
      </w:r>
      <w:r>
        <w:rPr>
          <w:rStyle w:val="apple-style-span"/>
          <w:sz w:val="22"/>
          <w:szCs w:val="22"/>
          <w:shd w:val="clear" w:color="auto" w:fill="FFFFFF"/>
          <w:lang w:val="en-US"/>
        </w:rPr>
        <w:t xml:space="preserve">, UCC – KZT </w:t>
      </w:r>
      <w:r w:rsidR="000A43AE">
        <w:rPr>
          <w:rStyle w:val="apple-style-span"/>
          <w:sz w:val="22"/>
          <w:szCs w:val="22"/>
          <w:shd w:val="clear" w:color="auto" w:fill="FFFFFF"/>
          <w:lang w:val="en-US"/>
        </w:rPr>
        <w:t>0.59</w:t>
      </w:r>
      <w:r>
        <w:rPr>
          <w:rStyle w:val="apple-style-span"/>
          <w:sz w:val="22"/>
          <w:szCs w:val="22"/>
          <w:shd w:val="clear" w:color="auto" w:fill="FFFFFF"/>
          <w:lang w:val="en-US"/>
        </w:rPr>
        <w:t xml:space="preserve"> </w:t>
      </w:r>
      <w:r w:rsidR="000A43AE">
        <w:rPr>
          <w:rStyle w:val="apple-style-span"/>
          <w:sz w:val="22"/>
          <w:szCs w:val="22"/>
          <w:shd w:val="clear" w:color="auto" w:fill="FFFFFF"/>
          <w:lang w:val="en-US"/>
        </w:rPr>
        <w:t>billion</w:t>
      </w:r>
      <w:r>
        <w:rPr>
          <w:rStyle w:val="apple-style-span"/>
          <w:sz w:val="22"/>
          <w:szCs w:val="22"/>
          <w:shd w:val="clear" w:color="auto" w:fill="FFFFFF"/>
          <w:lang w:val="en-US"/>
        </w:rPr>
        <w:t xml:space="preserve">, </w:t>
      </w:r>
      <w:proofErr w:type="spellStart"/>
      <w:r>
        <w:rPr>
          <w:rStyle w:val="apple-style-span"/>
          <w:sz w:val="22"/>
          <w:szCs w:val="22"/>
          <w:shd w:val="clear" w:color="auto" w:fill="FFFFFF"/>
          <w:lang w:val="en-US"/>
        </w:rPr>
        <w:t>Kazgeologiya</w:t>
      </w:r>
      <w:proofErr w:type="spellEnd"/>
      <w:r>
        <w:rPr>
          <w:rStyle w:val="apple-style-span"/>
          <w:sz w:val="22"/>
          <w:szCs w:val="22"/>
          <w:shd w:val="clear" w:color="auto" w:fill="FFFFFF"/>
          <w:lang w:val="en-US"/>
        </w:rPr>
        <w:t xml:space="preserve"> – KZT </w:t>
      </w:r>
      <w:r w:rsidR="000A43AE">
        <w:rPr>
          <w:rStyle w:val="apple-style-span"/>
          <w:sz w:val="22"/>
          <w:szCs w:val="22"/>
          <w:shd w:val="clear" w:color="auto" w:fill="FFFFFF"/>
          <w:lang w:val="en-US"/>
        </w:rPr>
        <w:t>0.19</w:t>
      </w:r>
      <w:r>
        <w:rPr>
          <w:rStyle w:val="apple-style-span"/>
          <w:sz w:val="22"/>
          <w:szCs w:val="22"/>
          <w:shd w:val="clear" w:color="auto" w:fill="FFFFFF"/>
          <w:lang w:val="en-US"/>
        </w:rPr>
        <w:t xml:space="preserve"> </w:t>
      </w:r>
      <w:r w:rsidR="000A43AE">
        <w:rPr>
          <w:rStyle w:val="apple-style-span"/>
          <w:sz w:val="22"/>
          <w:szCs w:val="22"/>
          <w:shd w:val="clear" w:color="auto" w:fill="FFFFFF"/>
          <w:lang w:val="en-US"/>
        </w:rPr>
        <w:t>billion</w:t>
      </w:r>
      <w:r>
        <w:rPr>
          <w:rStyle w:val="apple-style-span"/>
          <w:sz w:val="22"/>
          <w:szCs w:val="22"/>
          <w:shd w:val="clear" w:color="auto" w:fill="FFFFFF"/>
          <w:lang w:val="en-US"/>
        </w:rPr>
        <w:t xml:space="preserve">. Net income of JSC “NC “Kazakhstan Engineering” evaluated </w:t>
      </w:r>
      <w:r w:rsidR="00EC415E">
        <w:rPr>
          <w:rStyle w:val="apple-style-span"/>
          <w:sz w:val="22"/>
          <w:szCs w:val="22"/>
          <w:shd w:val="clear" w:color="auto" w:fill="FFFFFF"/>
          <w:lang w:val="en-US"/>
        </w:rPr>
        <w:t>to KZT</w:t>
      </w:r>
      <w:r>
        <w:rPr>
          <w:rStyle w:val="apple-style-span"/>
          <w:sz w:val="22"/>
          <w:szCs w:val="22"/>
          <w:shd w:val="clear" w:color="auto" w:fill="FFFFFF"/>
          <w:lang w:val="en-US"/>
        </w:rPr>
        <w:t xml:space="preserve"> </w:t>
      </w:r>
      <w:r w:rsidR="000A43AE">
        <w:rPr>
          <w:rStyle w:val="apple-style-span"/>
          <w:sz w:val="22"/>
          <w:szCs w:val="22"/>
          <w:shd w:val="clear" w:color="auto" w:fill="FFFFFF"/>
          <w:lang w:val="en-US"/>
        </w:rPr>
        <w:t>0.</w:t>
      </w:r>
      <w:r w:rsidR="00571AFD" w:rsidRPr="00571AFD">
        <w:rPr>
          <w:rStyle w:val="apple-style-span"/>
          <w:sz w:val="22"/>
          <w:szCs w:val="22"/>
          <w:shd w:val="clear" w:color="auto" w:fill="FFFFFF"/>
          <w:lang w:val="en-US"/>
        </w:rPr>
        <w:t>53</w:t>
      </w:r>
      <w:r>
        <w:rPr>
          <w:rStyle w:val="apple-style-span"/>
          <w:sz w:val="22"/>
          <w:szCs w:val="22"/>
          <w:shd w:val="clear" w:color="auto" w:fill="FFFFFF"/>
          <w:lang w:val="en-US"/>
        </w:rPr>
        <w:t xml:space="preserve"> </w:t>
      </w:r>
      <w:r w:rsidR="000A43AE">
        <w:rPr>
          <w:rStyle w:val="apple-style-span"/>
          <w:sz w:val="22"/>
          <w:szCs w:val="22"/>
          <w:shd w:val="clear" w:color="auto" w:fill="FFFFFF"/>
          <w:lang w:val="en-US"/>
        </w:rPr>
        <w:t>billion</w:t>
      </w:r>
      <w:r>
        <w:rPr>
          <w:rStyle w:val="apple-style-span"/>
          <w:sz w:val="22"/>
          <w:szCs w:val="22"/>
          <w:shd w:val="clear" w:color="auto" w:fill="FFFFFF"/>
          <w:lang w:val="en-US"/>
        </w:rPr>
        <w:t xml:space="preserve"> for </w:t>
      </w:r>
      <w:r w:rsidR="000A43AE">
        <w:rPr>
          <w:rStyle w:val="apple-style-span"/>
          <w:sz w:val="22"/>
          <w:szCs w:val="22"/>
          <w:shd w:val="clear" w:color="auto" w:fill="FFFFFF"/>
          <w:lang w:val="en-US"/>
        </w:rPr>
        <w:t>H1 2012</w:t>
      </w:r>
      <w:r>
        <w:rPr>
          <w:rStyle w:val="apple-style-span"/>
          <w:sz w:val="22"/>
          <w:szCs w:val="22"/>
          <w:shd w:val="clear" w:color="auto" w:fill="FFFFFF"/>
          <w:lang w:val="en-US"/>
        </w:rPr>
        <w:t>.</w:t>
      </w:r>
    </w:p>
    <w:p w:rsidR="002664E4" w:rsidRPr="00CA4D27"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sidRPr="00CA4D27">
        <w:rPr>
          <w:rStyle w:val="apple-style-span"/>
          <w:sz w:val="22"/>
          <w:szCs w:val="22"/>
          <w:shd w:val="clear" w:color="auto" w:fill="FFFFFF"/>
          <w:lang w:val="en-US"/>
        </w:rPr>
        <w:t xml:space="preserve">Receipt of income from the activity of </w:t>
      </w:r>
      <w:r>
        <w:rPr>
          <w:rStyle w:val="apple-style-span"/>
          <w:sz w:val="22"/>
          <w:szCs w:val="22"/>
          <w:shd w:val="clear" w:color="auto" w:fill="FFFFFF"/>
          <w:lang w:val="en-US"/>
        </w:rPr>
        <w:t xml:space="preserve">these companies is </w:t>
      </w:r>
      <w:r w:rsidRPr="00CA4D27">
        <w:rPr>
          <w:rStyle w:val="apple-style-span"/>
          <w:sz w:val="22"/>
          <w:szCs w:val="22"/>
          <w:shd w:val="clear" w:color="auto" w:fill="FFFFFF"/>
          <w:lang w:val="en-US"/>
        </w:rPr>
        <w:t xml:space="preserve">expected as the </w:t>
      </w:r>
      <w:r>
        <w:rPr>
          <w:rStyle w:val="apple-style-span"/>
          <w:sz w:val="22"/>
          <w:szCs w:val="22"/>
          <w:shd w:val="clear" w:color="auto" w:fill="FFFFFF"/>
          <w:lang w:val="en-US"/>
        </w:rPr>
        <w:t xml:space="preserve">released </w:t>
      </w:r>
      <w:r w:rsidRPr="00CA4D27">
        <w:rPr>
          <w:rStyle w:val="apple-style-span"/>
          <w:sz w:val="22"/>
          <w:szCs w:val="22"/>
          <w:shd w:val="clear" w:color="auto" w:fill="FFFFFF"/>
          <w:lang w:val="en-US"/>
        </w:rPr>
        <w:t>projects and ongoing exploration</w:t>
      </w:r>
      <w:r>
        <w:rPr>
          <w:rStyle w:val="apple-style-span"/>
          <w:sz w:val="22"/>
          <w:szCs w:val="22"/>
          <w:shd w:val="clear" w:color="auto" w:fill="FFFFFF"/>
          <w:lang w:val="en-US"/>
        </w:rPr>
        <w:t xml:space="preserve"> attain the full projected capacity:</w:t>
      </w:r>
      <w:r w:rsidRPr="00547123">
        <w:rPr>
          <w:rStyle w:val="apple-style-span"/>
          <w:sz w:val="22"/>
          <w:szCs w:val="22"/>
          <w:shd w:val="clear" w:color="auto" w:fill="FFFFFF"/>
          <w:lang w:val="en-US"/>
        </w:rPr>
        <w:t xml:space="preserve"> </w:t>
      </w:r>
      <w:r w:rsidRPr="00CA4D27">
        <w:rPr>
          <w:rStyle w:val="apple-style-span"/>
          <w:sz w:val="22"/>
          <w:szCs w:val="22"/>
          <w:shd w:val="clear" w:color="auto" w:fill="FFFFFF"/>
          <w:lang w:val="en-US"/>
        </w:rPr>
        <w:t>Tau-Ken Samruk</w:t>
      </w:r>
      <w:r>
        <w:rPr>
          <w:rStyle w:val="apple-style-span"/>
          <w:sz w:val="22"/>
          <w:szCs w:val="22"/>
          <w:shd w:val="clear" w:color="auto" w:fill="FFFFFF"/>
          <w:lang w:val="en-US"/>
        </w:rPr>
        <w:t xml:space="preserve"> – in 2014,</w:t>
      </w:r>
      <w:r w:rsidRPr="00CA4D27">
        <w:rPr>
          <w:rStyle w:val="apple-style-span"/>
          <w:sz w:val="22"/>
          <w:szCs w:val="22"/>
          <w:shd w:val="clear" w:color="auto" w:fill="FFFFFF"/>
          <w:lang w:val="en-US"/>
        </w:rPr>
        <w:t xml:space="preserve"> UCC</w:t>
      </w:r>
      <w:r>
        <w:rPr>
          <w:rStyle w:val="apple-style-span"/>
          <w:sz w:val="22"/>
          <w:szCs w:val="22"/>
          <w:shd w:val="clear" w:color="auto" w:fill="FFFFFF"/>
          <w:lang w:val="en-US"/>
        </w:rPr>
        <w:t xml:space="preserve"> – in 2017,</w:t>
      </w:r>
      <w:r w:rsidRPr="00CA4D27">
        <w:rPr>
          <w:rStyle w:val="apple-style-span"/>
          <w:sz w:val="22"/>
          <w:szCs w:val="22"/>
          <w:shd w:val="clear" w:color="auto" w:fill="FFFFFF"/>
          <w:lang w:val="en-US"/>
        </w:rPr>
        <w:t xml:space="preserve"> </w:t>
      </w:r>
      <w:proofErr w:type="spellStart"/>
      <w:r w:rsidRPr="00CA4D27">
        <w:rPr>
          <w:rStyle w:val="apple-style-span"/>
          <w:sz w:val="22"/>
          <w:szCs w:val="22"/>
          <w:shd w:val="clear" w:color="auto" w:fill="FFFFFF"/>
          <w:lang w:val="en-US"/>
        </w:rPr>
        <w:t>Kazgeologiya</w:t>
      </w:r>
      <w:proofErr w:type="spellEnd"/>
      <w:r>
        <w:rPr>
          <w:rStyle w:val="apple-style-span"/>
          <w:sz w:val="22"/>
          <w:szCs w:val="22"/>
          <w:shd w:val="clear" w:color="auto" w:fill="FFFFFF"/>
          <w:lang w:val="en-US"/>
        </w:rPr>
        <w:t xml:space="preserve"> – after 201</w:t>
      </w:r>
      <w:r w:rsidR="000A43AE">
        <w:rPr>
          <w:rStyle w:val="apple-style-span"/>
          <w:sz w:val="22"/>
          <w:szCs w:val="22"/>
          <w:shd w:val="clear" w:color="auto" w:fill="FFFFFF"/>
          <w:lang w:val="en-US"/>
        </w:rPr>
        <w:t>3</w:t>
      </w:r>
      <w:r w:rsidRPr="00CA4D27">
        <w:rPr>
          <w:rStyle w:val="apple-style-span"/>
          <w:sz w:val="22"/>
          <w:szCs w:val="22"/>
          <w:shd w:val="clear" w:color="auto" w:fill="FFFFFF"/>
          <w:lang w:val="en-US"/>
        </w:rPr>
        <w:t>.</w:t>
      </w:r>
    </w:p>
    <w:p w:rsidR="002664E4" w:rsidRPr="00334790" w:rsidRDefault="002664E4" w:rsidP="00344B3E">
      <w:pPr>
        <w:tabs>
          <w:tab w:val="left" w:pos="426"/>
        </w:tabs>
        <w:autoSpaceDE w:val="0"/>
        <w:autoSpaceDN w:val="0"/>
        <w:adjustRightInd w:val="0"/>
        <w:ind w:left="-709" w:firstLine="709"/>
        <w:jc w:val="both"/>
        <w:rPr>
          <w:rStyle w:val="apple-style-span"/>
          <w:sz w:val="22"/>
          <w:szCs w:val="22"/>
          <w:shd w:val="clear" w:color="auto" w:fill="FFFFFF"/>
          <w:lang w:val="en-US"/>
        </w:rPr>
      </w:pPr>
      <w:r>
        <w:rPr>
          <w:rStyle w:val="apple-style-span"/>
          <w:sz w:val="22"/>
          <w:szCs w:val="22"/>
          <w:shd w:val="clear" w:color="auto" w:fill="FFFFFF"/>
          <w:lang w:val="en-US"/>
        </w:rPr>
        <w:t>Below are given</w:t>
      </w:r>
      <w:r w:rsidRPr="00CA4D27">
        <w:rPr>
          <w:rStyle w:val="apple-style-span"/>
          <w:sz w:val="22"/>
          <w:szCs w:val="22"/>
          <w:shd w:val="clear" w:color="auto" w:fill="FFFFFF"/>
          <w:lang w:val="en-US"/>
        </w:rPr>
        <w:t xml:space="preserve"> specific factors in </w:t>
      </w:r>
      <w:r w:rsidRPr="00547123">
        <w:rPr>
          <w:rStyle w:val="apple-style-span"/>
          <w:b/>
          <w:i/>
          <w:sz w:val="22"/>
          <w:szCs w:val="22"/>
          <w:shd w:val="clear" w:color="auto" w:fill="FFFFFF"/>
          <w:lang w:val="en-US"/>
        </w:rPr>
        <w:t>net profit</w:t>
      </w:r>
      <w:r w:rsidRPr="00CA4D27">
        <w:rPr>
          <w:rStyle w:val="apple-style-span"/>
          <w:sz w:val="22"/>
          <w:szCs w:val="22"/>
          <w:shd w:val="clear" w:color="auto" w:fill="FFFFFF"/>
          <w:lang w:val="en-US"/>
        </w:rPr>
        <w:t xml:space="preserve"> </w:t>
      </w:r>
      <w:r>
        <w:rPr>
          <w:rStyle w:val="apple-style-span"/>
          <w:sz w:val="22"/>
          <w:szCs w:val="22"/>
          <w:shd w:val="clear" w:color="auto" w:fill="FFFFFF"/>
          <w:lang w:val="en-US"/>
        </w:rPr>
        <w:t>charge on</w:t>
      </w:r>
      <w:r w:rsidRPr="00CA4D27">
        <w:rPr>
          <w:rStyle w:val="apple-style-span"/>
          <w:sz w:val="22"/>
          <w:szCs w:val="22"/>
          <w:shd w:val="clear" w:color="auto" w:fill="FFFFFF"/>
          <w:lang w:val="en-US"/>
        </w:rPr>
        <w:t xml:space="preserve"> the segment in </w:t>
      </w:r>
      <w:r w:rsidR="000A43AE">
        <w:rPr>
          <w:rStyle w:val="apple-style-span"/>
          <w:sz w:val="22"/>
          <w:szCs w:val="22"/>
          <w:shd w:val="clear" w:color="auto" w:fill="FFFFFF"/>
          <w:lang w:val="en-US"/>
        </w:rPr>
        <w:t>H1 2012</w:t>
      </w:r>
      <w:r w:rsidRPr="00CA4D27">
        <w:rPr>
          <w:rStyle w:val="apple-style-span"/>
          <w:sz w:val="22"/>
          <w:szCs w:val="22"/>
          <w:shd w:val="clear" w:color="auto" w:fill="FFFFFF"/>
          <w:lang w:val="en-US"/>
        </w:rPr>
        <w:t xml:space="preserve"> compared to </w:t>
      </w:r>
      <w:r w:rsidR="000A43AE">
        <w:rPr>
          <w:rStyle w:val="apple-style-span"/>
          <w:sz w:val="22"/>
          <w:szCs w:val="22"/>
          <w:shd w:val="clear" w:color="auto" w:fill="FFFFFF"/>
          <w:lang w:val="en-US"/>
        </w:rPr>
        <w:t>the same period of 2011</w:t>
      </w:r>
      <w:r w:rsidRPr="00CA4D27">
        <w:rPr>
          <w:rStyle w:val="apple-style-span"/>
          <w:sz w:val="22"/>
          <w:szCs w:val="22"/>
          <w:shd w:val="clear" w:color="auto" w:fill="FFFFFF"/>
          <w:lang w:val="en-US"/>
        </w:rPr>
        <w:t xml:space="preserve">. </w:t>
      </w:r>
    </w:p>
    <w:p w:rsidR="00344B3E" w:rsidRPr="00334790" w:rsidRDefault="00344B3E" w:rsidP="002664E4">
      <w:pPr>
        <w:tabs>
          <w:tab w:val="left" w:pos="426"/>
        </w:tabs>
        <w:autoSpaceDE w:val="0"/>
        <w:autoSpaceDN w:val="0"/>
        <w:adjustRightInd w:val="0"/>
        <w:jc w:val="both"/>
        <w:rPr>
          <w:rStyle w:val="apple-style-span"/>
          <w:color w:val="FF0000"/>
          <w:sz w:val="22"/>
          <w:szCs w:val="22"/>
          <w:shd w:val="clear" w:color="auto" w:fill="FFFFFF"/>
          <w:lang w:val="en-US"/>
        </w:rPr>
      </w:pP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210"/>
      </w:tblGrid>
      <w:tr w:rsidR="002664E4" w:rsidRPr="00F71BE5" w:rsidTr="00344B3E">
        <w:trPr>
          <w:trHeight w:val="360"/>
          <w:tblHeader/>
          <w:jc w:val="center"/>
        </w:trPr>
        <w:tc>
          <w:tcPr>
            <w:tcW w:w="8789" w:type="dxa"/>
            <w:shd w:val="clear" w:color="000000" w:fill="FFFFFF"/>
            <w:noWrap/>
            <w:vAlign w:val="center"/>
            <w:hideMark/>
          </w:tcPr>
          <w:p w:rsidR="002664E4" w:rsidRPr="00137BA3" w:rsidRDefault="002664E4" w:rsidP="00770BC8">
            <w:pPr>
              <w:jc w:val="center"/>
              <w:rPr>
                <w:b/>
                <w:color w:val="000000"/>
                <w:sz w:val="18"/>
                <w:szCs w:val="18"/>
                <w:lang w:val="en-US"/>
              </w:rPr>
            </w:pPr>
            <w:r>
              <w:rPr>
                <w:b/>
                <w:color w:val="000000"/>
                <w:sz w:val="18"/>
                <w:szCs w:val="18"/>
                <w:lang w:val="en-US"/>
              </w:rPr>
              <w:t>Factors</w:t>
            </w:r>
          </w:p>
        </w:tc>
        <w:tc>
          <w:tcPr>
            <w:tcW w:w="1210" w:type="dxa"/>
            <w:shd w:val="clear" w:color="000000" w:fill="FFFFFF"/>
            <w:vAlign w:val="center"/>
          </w:tcPr>
          <w:p w:rsidR="002664E4" w:rsidRPr="00137BA3" w:rsidRDefault="002664E4" w:rsidP="00770BC8">
            <w:pPr>
              <w:jc w:val="center"/>
              <w:rPr>
                <w:b/>
                <w:bCs/>
                <w:color w:val="000000"/>
                <w:sz w:val="18"/>
                <w:szCs w:val="18"/>
                <w:lang w:val="en-US"/>
              </w:rPr>
            </w:pPr>
            <w:r>
              <w:rPr>
                <w:b/>
                <w:bCs/>
                <w:color w:val="000000"/>
                <w:sz w:val="18"/>
                <w:szCs w:val="18"/>
                <w:lang w:val="en-US"/>
              </w:rPr>
              <w:t>Changes</w:t>
            </w:r>
            <w:r w:rsidRPr="001370C1">
              <w:rPr>
                <w:b/>
                <w:bCs/>
                <w:color w:val="000000"/>
                <w:sz w:val="18"/>
                <w:szCs w:val="18"/>
              </w:rPr>
              <w:t xml:space="preserve">, </w:t>
            </w:r>
            <w:r w:rsidR="0056532A">
              <w:rPr>
                <w:b/>
                <w:bCs/>
                <w:color w:val="000000"/>
                <w:sz w:val="18"/>
                <w:szCs w:val="18"/>
                <w:lang w:val="en-US"/>
              </w:rPr>
              <w:t>b</w:t>
            </w:r>
            <w:r w:rsidR="000A43AE">
              <w:rPr>
                <w:b/>
                <w:bCs/>
                <w:color w:val="000000"/>
                <w:sz w:val="18"/>
                <w:szCs w:val="18"/>
                <w:lang w:val="en-US"/>
              </w:rPr>
              <w:t>illion</w:t>
            </w:r>
            <w:r>
              <w:rPr>
                <w:b/>
                <w:bCs/>
                <w:color w:val="000000"/>
                <w:sz w:val="18"/>
                <w:szCs w:val="18"/>
                <w:lang w:val="en-US"/>
              </w:rPr>
              <w:t xml:space="preserve"> KZT</w:t>
            </w:r>
          </w:p>
        </w:tc>
      </w:tr>
      <w:tr w:rsidR="00AD57E0" w:rsidRPr="0056532A" w:rsidTr="00344B3E">
        <w:trPr>
          <w:trHeight w:val="252"/>
          <w:jc w:val="center"/>
        </w:trPr>
        <w:tc>
          <w:tcPr>
            <w:tcW w:w="8789" w:type="dxa"/>
            <w:shd w:val="clear" w:color="auto" w:fill="auto"/>
          </w:tcPr>
          <w:p w:rsidR="00AD57E0" w:rsidRPr="0056532A" w:rsidRDefault="00AD57E0" w:rsidP="00A7588C">
            <w:pPr>
              <w:rPr>
                <w:b/>
                <w:sz w:val="16"/>
                <w:szCs w:val="16"/>
                <w:lang w:val="en-US"/>
              </w:rPr>
            </w:pPr>
            <w:r w:rsidRPr="0056532A">
              <w:rPr>
                <w:b/>
                <w:sz w:val="16"/>
                <w:szCs w:val="16"/>
                <w:lang w:val="en-US"/>
              </w:rPr>
              <w:t>Net income (KZT 11.36 billion for the period; KZT 34.14 billion for the same period in 2011)</w:t>
            </w:r>
          </w:p>
        </w:tc>
        <w:tc>
          <w:tcPr>
            <w:tcW w:w="1210" w:type="dxa"/>
            <w:vAlign w:val="center"/>
          </w:tcPr>
          <w:p w:rsidR="00AD57E0" w:rsidRPr="001C0953" w:rsidRDefault="00AD57E0" w:rsidP="00A7588C">
            <w:pPr>
              <w:jc w:val="center"/>
              <w:rPr>
                <w:b/>
                <w:bCs/>
                <w:sz w:val="18"/>
                <w:szCs w:val="18"/>
              </w:rPr>
            </w:pPr>
            <w:r w:rsidRPr="00AD57E0">
              <w:rPr>
                <w:b/>
                <w:bCs/>
                <w:sz w:val="18"/>
                <w:szCs w:val="18"/>
                <w:lang w:val="en-US"/>
              </w:rPr>
              <w:t xml:space="preserve"> </w:t>
            </w:r>
            <w:r w:rsidRPr="001C0953">
              <w:rPr>
                <w:b/>
                <w:bCs/>
                <w:sz w:val="18"/>
                <w:szCs w:val="18"/>
              </w:rPr>
              <w:t>- 22</w:t>
            </w:r>
            <w:r>
              <w:rPr>
                <w:b/>
                <w:bCs/>
                <w:sz w:val="18"/>
                <w:szCs w:val="18"/>
              </w:rPr>
              <w:t>,8</w:t>
            </w:r>
          </w:p>
        </w:tc>
      </w:tr>
      <w:tr w:rsidR="00AD57E0" w:rsidRPr="0056532A" w:rsidTr="00344B3E">
        <w:trPr>
          <w:trHeight w:val="283"/>
          <w:jc w:val="center"/>
        </w:trPr>
        <w:tc>
          <w:tcPr>
            <w:tcW w:w="8789" w:type="dxa"/>
            <w:shd w:val="clear" w:color="auto" w:fill="auto"/>
          </w:tcPr>
          <w:p w:rsidR="00AD57E0" w:rsidRPr="0056532A" w:rsidRDefault="00AD57E0" w:rsidP="00AD57E0">
            <w:pPr>
              <w:rPr>
                <w:sz w:val="16"/>
                <w:szCs w:val="16"/>
                <w:lang w:val="en-US"/>
              </w:rPr>
            </w:pPr>
            <w:r>
              <w:rPr>
                <w:sz w:val="16"/>
                <w:szCs w:val="16"/>
                <w:lang w:val="en-US"/>
              </w:rPr>
              <w:t>D</w:t>
            </w:r>
            <w:r w:rsidRPr="0056532A">
              <w:rPr>
                <w:sz w:val="16"/>
                <w:szCs w:val="16"/>
                <w:lang w:val="en-US"/>
              </w:rPr>
              <w:t xml:space="preserve">ecrease in sales volume </w:t>
            </w:r>
            <w:r>
              <w:rPr>
                <w:sz w:val="16"/>
                <w:szCs w:val="16"/>
                <w:lang w:val="en-US"/>
              </w:rPr>
              <w:t>of NUC</w:t>
            </w:r>
            <w:r w:rsidRPr="0056532A">
              <w:rPr>
                <w:sz w:val="16"/>
                <w:szCs w:val="16"/>
                <w:lang w:val="en-US"/>
              </w:rPr>
              <w:t xml:space="preserve"> (natural uranium </w:t>
            </w:r>
            <w:r>
              <w:rPr>
                <w:sz w:val="16"/>
                <w:szCs w:val="16"/>
                <w:lang w:val="en-US"/>
              </w:rPr>
              <w:t>concentrate</w:t>
            </w:r>
            <w:r w:rsidRPr="0056532A">
              <w:rPr>
                <w:sz w:val="16"/>
                <w:szCs w:val="16"/>
                <w:lang w:val="en-US"/>
              </w:rPr>
              <w:t>)</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- 3</w:t>
            </w:r>
            <w:r>
              <w:rPr>
                <w:color w:val="000000"/>
                <w:sz w:val="18"/>
                <w:szCs w:val="18"/>
              </w:rPr>
              <w:t>,9</w:t>
            </w:r>
          </w:p>
        </w:tc>
      </w:tr>
      <w:tr w:rsidR="00AD57E0" w:rsidRPr="00AD57E0" w:rsidTr="00344B3E">
        <w:trPr>
          <w:trHeight w:val="398"/>
          <w:jc w:val="center"/>
        </w:trPr>
        <w:tc>
          <w:tcPr>
            <w:tcW w:w="8789" w:type="dxa"/>
            <w:shd w:val="clear" w:color="auto" w:fill="auto"/>
          </w:tcPr>
          <w:p w:rsidR="00AD57E0" w:rsidRPr="0056532A" w:rsidRDefault="00AD57E0" w:rsidP="00AD57E0">
            <w:pPr>
              <w:rPr>
                <w:sz w:val="16"/>
                <w:szCs w:val="16"/>
                <w:lang w:val="en-US"/>
              </w:rPr>
            </w:pPr>
            <w:r w:rsidRPr="0056532A">
              <w:rPr>
                <w:sz w:val="16"/>
                <w:szCs w:val="16"/>
                <w:lang w:val="en-US"/>
              </w:rPr>
              <w:t xml:space="preserve">Decrease </w:t>
            </w:r>
            <w:r>
              <w:rPr>
                <w:sz w:val="16"/>
                <w:szCs w:val="16"/>
                <w:lang w:val="en-US"/>
              </w:rPr>
              <w:t xml:space="preserve">in </w:t>
            </w:r>
            <w:r w:rsidRPr="0056532A">
              <w:rPr>
                <w:sz w:val="16"/>
                <w:szCs w:val="16"/>
                <w:lang w:val="en-US"/>
              </w:rPr>
              <w:t xml:space="preserve">selling price </w:t>
            </w:r>
            <w:r>
              <w:rPr>
                <w:sz w:val="16"/>
                <w:szCs w:val="16"/>
                <w:lang w:val="en-US"/>
              </w:rPr>
              <w:t>of NUC</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- 8</w:t>
            </w:r>
            <w:r>
              <w:rPr>
                <w:color w:val="000000"/>
                <w:sz w:val="18"/>
                <w:szCs w:val="18"/>
              </w:rPr>
              <w:t>,1</w:t>
            </w:r>
          </w:p>
        </w:tc>
      </w:tr>
      <w:tr w:rsidR="00AD57E0" w:rsidRPr="0056532A" w:rsidTr="00344B3E">
        <w:trPr>
          <w:trHeight w:val="269"/>
          <w:jc w:val="center"/>
        </w:trPr>
        <w:tc>
          <w:tcPr>
            <w:tcW w:w="8789" w:type="dxa"/>
            <w:shd w:val="clear" w:color="auto" w:fill="auto"/>
          </w:tcPr>
          <w:p w:rsidR="00AD57E0" w:rsidRPr="0056532A" w:rsidRDefault="00AD57E0" w:rsidP="00A7588C">
            <w:pPr>
              <w:rPr>
                <w:sz w:val="16"/>
                <w:szCs w:val="16"/>
                <w:lang w:val="en-US"/>
              </w:rPr>
            </w:pPr>
            <w:r>
              <w:rPr>
                <w:sz w:val="16"/>
                <w:szCs w:val="16"/>
                <w:lang w:val="en-US"/>
              </w:rPr>
              <w:lastRenderedPageBreak/>
              <w:t>G</w:t>
            </w:r>
            <w:r w:rsidRPr="0056532A">
              <w:rPr>
                <w:sz w:val="16"/>
                <w:szCs w:val="16"/>
                <w:lang w:val="en-US"/>
              </w:rPr>
              <w:t>rowth in sales of other products</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 xml:space="preserve">- </w:t>
            </w:r>
            <w:r>
              <w:rPr>
                <w:color w:val="000000"/>
                <w:sz w:val="18"/>
                <w:szCs w:val="18"/>
              </w:rPr>
              <w:t>0,3</w:t>
            </w:r>
          </w:p>
        </w:tc>
      </w:tr>
      <w:tr w:rsidR="00AD57E0" w:rsidRPr="0056532A" w:rsidTr="00344B3E">
        <w:trPr>
          <w:trHeight w:val="269"/>
          <w:jc w:val="center"/>
        </w:trPr>
        <w:tc>
          <w:tcPr>
            <w:tcW w:w="8789" w:type="dxa"/>
            <w:shd w:val="clear" w:color="auto" w:fill="auto"/>
          </w:tcPr>
          <w:p w:rsidR="00AD57E0" w:rsidRPr="0056532A" w:rsidRDefault="00AD57E0" w:rsidP="00A7588C">
            <w:pPr>
              <w:rPr>
                <w:sz w:val="16"/>
                <w:szCs w:val="16"/>
                <w:lang w:val="en-US"/>
              </w:rPr>
            </w:pPr>
            <w:r>
              <w:rPr>
                <w:sz w:val="16"/>
                <w:szCs w:val="16"/>
                <w:lang w:val="en-US"/>
              </w:rPr>
              <w:t>G</w:t>
            </w:r>
            <w:r w:rsidRPr="0056532A">
              <w:rPr>
                <w:sz w:val="16"/>
                <w:szCs w:val="16"/>
                <w:lang w:val="en-US"/>
              </w:rPr>
              <w:t>rowth in sales prices of other products</w:t>
            </w:r>
          </w:p>
        </w:tc>
        <w:tc>
          <w:tcPr>
            <w:tcW w:w="1210" w:type="dxa"/>
            <w:vAlign w:val="center"/>
          </w:tcPr>
          <w:p w:rsidR="00AD57E0" w:rsidRPr="00C8549A" w:rsidRDefault="00AD57E0" w:rsidP="00A7588C">
            <w:pPr>
              <w:jc w:val="center"/>
              <w:rPr>
                <w:color w:val="000000"/>
                <w:sz w:val="18"/>
                <w:szCs w:val="18"/>
              </w:rPr>
            </w:pPr>
            <w:r>
              <w:rPr>
                <w:color w:val="000000"/>
                <w:sz w:val="18"/>
                <w:szCs w:val="18"/>
              </w:rPr>
              <w:t>3,</w:t>
            </w:r>
            <w:r w:rsidRPr="00C8549A">
              <w:rPr>
                <w:color w:val="000000"/>
                <w:sz w:val="18"/>
                <w:szCs w:val="18"/>
              </w:rPr>
              <w:t>6</w:t>
            </w:r>
          </w:p>
        </w:tc>
      </w:tr>
      <w:tr w:rsidR="00AD57E0" w:rsidRPr="00AD57E0" w:rsidTr="00344B3E">
        <w:trPr>
          <w:trHeight w:val="269"/>
          <w:jc w:val="center"/>
        </w:trPr>
        <w:tc>
          <w:tcPr>
            <w:tcW w:w="8789" w:type="dxa"/>
            <w:shd w:val="clear" w:color="auto" w:fill="auto"/>
          </w:tcPr>
          <w:p w:rsidR="00AD57E0" w:rsidRPr="0056532A" w:rsidRDefault="00AD57E0" w:rsidP="00AD57E0">
            <w:pPr>
              <w:rPr>
                <w:sz w:val="16"/>
                <w:szCs w:val="16"/>
                <w:lang w:val="en-US"/>
              </w:rPr>
            </w:pPr>
            <w:r w:rsidRPr="0056532A">
              <w:rPr>
                <w:sz w:val="16"/>
                <w:szCs w:val="16"/>
                <w:lang w:val="en-US"/>
              </w:rPr>
              <w:t xml:space="preserve">Changes in the exchange rate of </w:t>
            </w:r>
            <w:r>
              <w:rPr>
                <w:sz w:val="16"/>
                <w:szCs w:val="16"/>
                <w:lang w:val="en-US"/>
              </w:rPr>
              <w:t>KZT</w:t>
            </w:r>
            <w:r w:rsidRPr="0056532A">
              <w:rPr>
                <w:sz w:val="16"/>
                <w:szCs w:val="16"/>
                <w:lang w:val="en-US"/>
              </w:rPr>
              <w:t xml:space="preserve"> / </w:t>
            </w:r>
            <w:r>
              <w:rPr>
                <w:sz w:val="16"/>
                <w:szCs w:val="16"/>
                <w:lang w:val="en-US"/>
              </w:rPr>
              <w:t>USD</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1</w:t>
            </w:r>
            <w:r>
              <w:rPr>
                <w:color w:val="000000"/>
                <w:sz w:val="18"/>
                <w:szCs w:val="18"/>
              </w:rPr>
              <w:t>,2</w:t>
            </w:r>
          </w:p>
        </w:tc>
      </w:tr>
      <w:tr w:rsidR="00AD57E0" w:rsidRPr="006A3C0D" w:rsidTr="00344B3E">
        <w:trPr>
          <w:trHeight w:val="269"/>
          <w:jc w:val="center"/>
        </w:trPr>
        <w:tc>
          <w:tcPr>
            <w:tcW w:w="8789" w:type="dxa"/>
            <w:shd w:val="clear" w:color="auto" w:fill="auto"/>
          </w:tcPr>
          <w:p w:rsidR="00AD57E0" w:rsidRPr="0056532A" w:rsidRDefault="00AD57E0" w:rsidP="00A7588C">
            <w:pPr>
              <w:rPr>
                <w:sz w:val="16"/>
                <w:szCs w:val="16"/>
                <w:lang w:val="en-US"/>
              </w:rPr>
            </w:pPr>
            <w:r w:rsidRPr="0056532A">
              <w:rPr>
                <w:sz w:val="16"/>
                <w:szCs w:val="16"/>
                <w:lang w:val="en-US"/>
              </w:rPr>
              <w:t>Prices for raw materials</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-2</w:t>
            </w:r>
            <w:r>
              <w:rPr>
                <w:color w:val="000000"/>
                <w:sz w:val="18"/>
                <w:szCs w:val="18"/>
              </w:rPr>
              <w:t>,6</w:t>
            </w:r>
          </w:p>
        </w:tc>
      </w:tr>
      <w:tr w:rsidR="00AD57E0" w:rsidRPr="0056532A" w:rsidTr="00344B3E">
        <w:trPr>
          <w:trHeight w:val="269"/>
          <w:jc w:val="center"/>
        </w:trPr>
        <w:tc>
          <w:tcPr>
            <w:tcW w:w="8789" w:type="dxa"/>
            <w:shd w:val="clear" w:color="auto" w:fill="auto"/>
          </w:tcPr>
          <w:p w:rsidR="00AD57E0" w:rsidRPr="0056532A" w:rsidRDefault="00AD57E0" w:rsidP="00AD57E0">
            <w:pPr>
              <w:rPr>
                <w:sz w:val="16"/>
                <w:szCs w:val="16"/>
                <w:lang w:val="en-US"/>
              </w:rPr>
            </w:pPr>
            <w:r>
              <w:rPr>
                <w:sz w:val="16"/>
                <w:szCs w:val="16"/>
                <w:lang w:val="en-US"/>
              </w:rPr>
              <w:t xml:space="preserve">Increase in </w:t>
            </w:r>
            <w:r w:rsidRPr="0056532A">
              <w:rPr>
                <w:sz w:val="16"/>
                <w:szCs w:val="16"/>
                <w:lang w:val="en-US"/>
              </w:rPr>
              <w:t xml:space="preserve">the share of realized </w:t>
            </w:r>
            <w:r>
              <w:rPr>
                <w:sz w:val="16"/>
                <w:szCs w:val="16"/>
                <w:lang w:val="en-US"/>
              </w:rPr>
              <w:t>NUC,</w:t>
            </w:r>
            <w:r w:rsidRPr="0056532A">
              <w:rPr>
                <w:sz w:val="16"/>
                <w:szCs w:val="16"/>
                <w:lang w:val="en-US"/>
              </w:rPr>
              <w:t xml:space="preserve"> purchased from affiliates</w:t>
            </w:r>
          </w:p>
        </w:tc>
        <w:tc>
          <w:tcPr>
            <w:tcW w:w="1210" w:type="dxa"/>
            <w:vAlign w:val="center"/>
          </w:tcPr>
          <w:p w:rsidR="00AD57E0" w:rsidRPr="00C8549A" w:rsidRDefault="00AD57E0" w:rsidP="00A7588C">
            <w:pPr>
              <w:jc w:val="center"/>
              <w:rPr>
                <w:color w:val="000000"/>
                <w:sz w:val="18"/>
                <w:szCs w:val="18"/>
              </w:rPr>
            </w:pPr>
            <w:r>
              <w:rPr>
                <w:color w:val="000000"/>
                <w:sz w:val="18"/>
                <w:szCs w:val="18"/>
              </w:rPr>
              <w:t>- 3,5</w:t>
            </w:r>
          </w:p>
        </w:tc>
      </w:tr>
      <w:tr w:rsidR="00AD57E0" w:rsidRPr="0056532A" w:rsidTr="00344B3E">
        <w:trPr>
          <w:trHeight w:val="269"/>
          <w:jc w:val="center"/>
        </w:trPr>
        <w:tc>
          <w:tcPr>
            <w:tcW w:w="8789" w:type="dxa"/>
            <w:shd w:val="clear" w:color="auto" w:fill="auto"/>
          </w:tcPr>
          <w:p w:rsidR="00AD57E0" w:rsidRPr="0056532A" w:rsidRDefault="00AD57E0" w:rsidP="00A7588C">
            <w:pPr>
              <w:rPr>
                <w:sz w:val="16"/>
                <w:szCs w:val="16"/>
                <w:lang w:val="en-US"/>
              </w:rPr>
            </w:pPr>
            <w:r w:rsidRPr="0056532A">
              <w:rPr>
                <w:sz w:val="16"/>
                <w:szCs w:val="16"/>
                <w:lang w:val="en-US"/>
              </w:rPr>
              <w:t>Growth of general and administrative expenses</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-2</w:t>
            </w:r>
            <w:r>
              <w:rPr>
                <w:color w:val="000000"/>
                <w:sz w:val="18"/>
                <w:szCs w:val="18"/>
              </w:rPr>
              <w:t>,9</w:t>
            </w:r>
          </w:p>
        </w:tc>
      </w:tr>
      <w:tr w:rsidR="00AD57E0" w:rsidRPr="0056532A" w:rsidTr="00344B3E">
        <w:trPr>
          <w:trHeight w:val="269"/>
          <w:jc w:val="center"/>
        </w:trPr>
        <w:tc>
          <w:tcPr>
            <w:tcW w:w="8789" w:type="dxa"/>
            <w:shd w:val="clear" w:color="auto" w:fill="auto"/>
          </w:tcPr>
          <w:p w:rsidR="00AD57E0" w:rsidRPr="0056532A" w:rsidRDefault="00AD57E0" w:rsidP="00A7588C">
            <w:pPr>
              <w:rPr>
                <w:sz w:val="16"/>
                <w:szCs w:val="16"/>
                <w:lang w:val="en-US"/>
              </w:rPr>
            </w:pPr>
            <w:r w:rsidRPr="0056532A">
              <w:rPr>
                <w:sz w:val="16"/>
                <w:szCs w:val="16"/>
                <w:lang w:val="en-US"/>
              </w:rPr>
              <w:t>Decrease in income from equity associates and jointly-controlled entities</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- 7</w:t>
            </w:r>
            <w:r>
              <w:rPr>
                <w:color w:val="000000"/>
                <w:sz w:val="18"/>
                <w:szCs w:val="18"/>
              </w:rPr>
              <w:t>,4</w:t>
            </w:r>
          </w:p>
        </w:tc>
      </w:tr>
      <w:tr w:rsidR="00AD57E0" w:rsidRPr="0056532A" w:rsidTr="00344B3E">
        <w:trPr>
          <w:trHeight w:val="269"/>
          <w:jc w:val="center"/>
        </w:trPr>
        <w:tc>
          <w:tcPr>
            <w:tcW w:w="8789" w:type="dxa"/>
            <w:shd w:val="clear" w:color="auto" w:fill="auto"/>
          </w:tcPr>
          <w:p w:rsidR="00AD57E0" w:rsidRPr="0056532A" w:rsidRDefault="00AD57E0" w:rsidP="00A7588C">
            <w:pPr>
              <w:rPr>
                <w:sz w:val="16"/>
                <w:szCs w:val="16"/>
                <w:lang w:val="en-US"/>
              </w:rPr>
            </w:pPr>
            <w:r>
              <w:rPr>
                <w:sz w:val="16"/>
                <w:szCs w:val="16"/>
                <w:lang w:val="en-US"/>
              </w:rPr>
              <w:t>D</w:t>
            </w:r>
            <w:r w:rsidRPr="0056532A">
              <w:rPr>
                <w:sz w:val="16"/>
                <w:szCs w:val="16"/>
                <w:lang w:val="en-US"/>
              </w:rPr>
              <w:t xml:space="preserve">eterioration of the results </w:t>
            </w:r>
            <w:r>
              <w:rPr>
                <w:sz w:val="16"/>
                <w:szCs w:val="16"/>
                <w:lang w:val="en-US"/>
              </w:rPr>
              <w:t xml:space="preserve">of </w:t>
            </w:r>
            <w:r w:rsidRPr="0056532A">
              <w:rPr>
                <w:sz w:val="16"/>
                <w:szCs w:val="16"/>
                <w:lang w:val="en-US"/>
              </w:rPr>
              <w:t>non-core activities (including foreign exchange loss)</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- 2</w:t>
            </w:r>
            <w:r>
              <w:rPr>
                <w:color w:val="000000"/>
                <w:sz w:val="18"/>
                <w:szCs w:val="18"/>
              </w:rPr>
              <w:t>,8</w:t>
            </w:r>
          </w:p>
        </w:tc>
      </w:tr>
      <w:tr w:rsidR="00AD57E0" w:rsidRPr="006A3C0D" w:rsidTr="00344B3E">
        <w:trPr>
          <w:trHeight w:val="269"/>
          <w:jc w:val="center"/>
        </w:trPr>
        <w:tc>
          <w:tcPr>
            <w:tcW w:w="8789" w:type="dxa"/>
            <w:shd w:val="clear" w:color="auto" w:fill="auto"/>
          </w:tcPr>
          <w:p w:rsidR="00AD57E0" w:rsidRPr="0056532A" w:rsidRDefault="00AD57E0" w:rsidP="00A7588C">
            <w:pPr>
              <w:rPr>
                <w:sz w:val="16"/>
                <w:szCs w:val="16"/>
                <w:lang w:val="en-US"/>
              </w:rPr>
            </w:pPr>
            <w:r w:rsidRPr="0056532A">
              <w:rPr>
                <w:sz w:val="16"/>
                <w:szCs w:val="16"/>
                <w:lang w:val="en-US"/>
              </w:rPr>
              <w:t>Reducing costs for CIT</w:t>
            </w:r>
          </w:p>
        </w:tc>
        <w:tc>
          <w:tcPr>
            <w:tcW w:w="1210" w:type="dxa"/>
            <w:vAlign w:val="center"/>
          </w:tcPr>
          <w:p w:rsidR="00AD57E0" w:rsidRPr="00C8549A" w:rsidRDefault="00AD57E0" w:rsidP="00A7588C">
            <w:pPr>
              <w:jc w:val="center"/>
              <w:rPr>
                <w:color w:val="000000"/>
                <w:sz w:val="18"/>
                <w:szCs w:val="18"/>
              </w:rPr>
            </w:pPr>
            <w:r w:rsidRPr="00C8549A">
              <w:rPr>
                <w:color w:val="000000"/>
                <w:sz w:val="18"/>
                <w:szCs w:val="18"/>
              </w:rPr>
              <w:t>5</w:t>
            </w:r>
            <w:r>
              <w:rPr>
                <w:color w:val="000000"/>
                <w:sz w:val="18"/>
                <w:szCs w:val="18"/>
              </w:rPr>
              <w:t>,2</w:t>
            </w:r>
          </w:p>
        </w:tc>
      </w:tr>
    </w:tbl>
    <w:p w:rsidR="002664E4" w:rsidRPr="00B87FE0" w:rsidRDefault="00EB5FD2" w:rsidP="00B87FE0">
      <w:pPr>
        <w:tabs>
          <w:tab w:val="left" w:pos="426"/>
        </w:tabs>
        <w:autoSpaceDE w:val="0"/>
        <w:autoSpaceDN w:val="0"/>
        <w:adjustRightInd w:val="0"/>
        <w:ind w:left="-709" w:firstLine="709"/>
        <w:jc w:val="both"/>
        <w:rPr>
          <w:rStyle w:val="apple-style-span"/>
          <w:color w:val="FF0000"/>
          <w:sz w:val="22"/>
          <w:szCs w:val="22"/>
          <w:shd w:val="clear" w:color="auto" w:fill="FFFFFF"/>
          <w:lang w:val="en-US"/>
        </w:rPr>
      </w:pPr>
      <w:r w:rsidRPr="00EB5FD2">
        <w:rPr>
          <w:rStyle w:val="apple-style-span"/>
          <w:sz w:val="22"/>
          <w:szCs w:val="22"/>
          <w:shd w:val="clear" w:color="auto" w:fill="FFFFFF"/>
          <w:lang w:val="en-US"/>
        </w:rPr>
        <w:t>Deterioration of the financial and economic activity in the 1st half</w:t>
      </w:r>
      <w:r>
        <w:rPr>
          <w:rStyle w:val="apple-style-span"/>
          <w:sz w:val="22"/>
          <w:szCs w:val="22"/>
          <w:shd w:val="clear" w:color="auto" w:fill="FFFFFF"/>
          <w:lang w:val="en-US"/>
        </w:rPr>
        <w:t xml:space="preserve"> 2012</w:t>
      </w:r>
      <w:r w:rsidRPr="00EB5FD2">
        <w:rPr>
          <w:rStyle w:val="apple-style-span"/>
          <w:sz w:val="22"/>
          <w:szCs w:val="22"/>
          <w:shd w:val="clear" w:color="auto" w:fill="FFFFFF"/>
          <w:lang w:val="en-US"/>
        </w:rPr>
        <w:t xml:space="preserve"> compared to the same period in 2011 </w:t>
      </w:r>
      <w:r>
        <w:rPr>
          <w:rStyle w:val="apple-style-span"/>
          <w:sz w:val="22"/>
          <w:szCs w:val="22"/>
          <w:shd w:val="clear" w:color="auto" w:fill="FFFFFF"/>
          <w:lang w:val="en-US"/>
        </w:rPr>
        <w:t xml:space="preserve">is </w:t>
      </w:r>
      <w:r w:rsidRPr="00EB5FD2">
        <w:rPr>
          <w:rStyle w:val="apple-style-span"/>
          <w:sz w:val="22"/>
          <w:szCs w:val="22"/>
          <w:shd w:val="clear" w:color="auto" w:fill="FFFFFF"/>
          <w:lang w:val="en-US"/>
        </w:rPr>
        <w:t xml:space="preserve">due mainly to the force majeure on exports of uranium to China (20% reduction), as well as lower spot prices for uranium (10%), caused by the uncertainty </w:t>
      </w:r>
      <w:r>
        <w:rPr>
          <w:rStyle w:val="apple-style-span"/>
          <w:sz w:val="22"/>
          <w:szCs w:val="22"/>
          <w:shd w:val="clear" w:color="auto" w:fill="FFFFFF"/>
          <w:lang w:val="en-US"/>
        </w:rPr>
        <w:t xml:space="preserve">of </w:t>
      </w:r>
      <w:r w:rsidRPr="00EB5FD2">
        <w:rPr>
          <w:rStyle w:val="apple-style-span"/>
          <w:sz w:val="22"/>
          <w:szCs w:val="22"/>
          <w:shd w:val="clear" w:color="auto" w:fill="FFFFFF"/>
          <w:lang w:val="en-US"/>
        </w:rPr>
        <w:t>further development of nuclear energy after the Fukushima accident</w:t>
      </w:r>
      <w:r w:rsidR="002664E4" w:rsidRPr="00504E21">
        <w:rPr>
          <w:rStyle w:val="apple-style-span"/>
          <w:sz w:val="22"/>
          <w:szCs w:val="22"/>
          <w:shd w:val="clear" w:color="auto" w:fill="FFFFFF"/>
          <w:lang w:val="en-US"/>
        </w:rPr>
        <w:t>.</w:t>
      </w:r>
    </w:p>
    <w:p w:rsidR="002664E4" w:rsidRPr="00D00C5F" w:rsidRDefault="002664E4" w:rsidP="002664E4">
      <w:pPr>
        <w:ind w:left="-709" w:firstLine="709"/>
        <w:jc w:val="both"/>
        <w:rPr>
          <w:sz w:val="22"/>
          <w:szCs w:val="22"/>
          <w:lang w:val="en-US"/>
        </w:rPr>
      </w:pPr>
      <w:r w:rsidRPr="00D00C5F">
        <w:rPr>
          <w:b/>
          <w:bCs/>
          <w:sz w:val="22"/>
          <w:szCs w:val="22"/>
          <w:lang w:val="en-US"/>
        </w:rPr>
        <w:t xml:space="preserve">Capital costs </w:t>
      </w:r>
      <w:r w:rsidRPr="00D00C5F">
        <w:rPr>
          <w:bCs/>
          <w:sz w:val="22"/>
          <w:szCs w:val="22"/>
          <w:lang w:val="en-US"/>
        </w:rPr>
        <w:t xml:space="preserve">for this segment in </w:t>
      </w:r>
      <w:r w:rsidR="0060468E">
        <w:rPr>
          <w:bCs/>
          <w:sz w:val="22"/>
          <w:szCs w:val="22"/>
          <w:lang w:val="en-US"/>
        </w:rPr>
        <w:t>the period</w:t>
      </w:r>
      <w:r w:rsidRPr="00D00C5F">
        <w:rPr>
          <w:bCs/>
          <w:sz w:val="22"/>
          <w:szCs w:val="22"/>
          <w:lang w:val="en-US"/>
        </w:rPr>
        <w:t xml:space="preserve"> amounted to </w:t>
      </w:r>
      <w:r>
        <w:rPr>
          <w:bCs/>
          <w:sz w:val="22"/>
          <w:szCs w:val="22"/>
          <w:lang w:val="en-US"/>
        </w:rPr>
        <w:t xml:space="preserve">KZT </w:t>
      </w:r>
      <w:r w:rsidR="0060468E">
        <w:rPr>
          <w:bCs/>
          <w:sz w:val="22"/>
          <w:szCs w:val="22"/>
          <w:lang w:val="en-US"/>
        </w:rPr>
        <w:t>19.59</w:t>
      </w:r>
      <w:r w:rsidRPr="00D00C5F">
        <w:rPr>
          <w:bCs/>
          <w:sz w:val="22"/>
          <w:szCs w:val="22"/>
          <w:lang w:val="en-US"/>
        </w:rPr>
        <w:t xml:space="preserve"> billion, including </w:t>
      </w:r>
      <w:r>
        <w:rPr>
          <w:bCs/>
          <w:sz w:val="22"/>
          <w:szCs w:val="22"/>
          <w:lang w:val="en-US"/>
        </w:rPr>
        <w:t xml:space="preserve">KZT </w:t>
      </w:r>
      <w:r w:rsidR="0060468E">
        <w:rPr>
          <w:bCs/>
          <w:sz w:val="22"/>
          <w:szCs w:val="22"/>
          <w:lang w:val="en-US"/>
        </w:rPr>
        <w:t>14</w:t>
      </w:r>
      <w:r w:rsidRPr="00D00C5F">
        <w:rPr>
          <w:bCs/>
          <w:sz w:val="22"/>
          <w:szCs w:val="22"/>
          <w:lang w:val="en-US"/>
        </w:rPr>
        <w:t xml:space="preserve"> billion</w:t>
      </w:r>
      <w:r>
        <w:rPr>
          <w:bCs/>
          <w:sz w:val="22"/>
          <w:szCs w:val="22"/>
          <w:lang w:val="en-US"/>
        </w:rPr>
        <w:t xml:space="preserve"> - </w:t>
      </w:r>
      <w:r w:rsidRPr="00D00C5F">
        <w:rPr>
          <w:bCs/>
          <w:sz w:val="22"/>
          <w:szCs w:val="22"/>
          <w:lang w:val="en-US"/>
        </w:rPr>
        <w:t>the cost of maintenance of productive assets and other fixed assets, valuation and exploration</w:t>
      </w:r>
      <w:r>
        <w:rPr>
          <w:bCs/>
          <w:sz w:val="22"/>
          <w:szCs w:val="22"/>
          <w:lang w:val="en-US"/>
        </w:rPr>
        <w:t xml:space="preserve"> works</w:t>
      </w:r>
      <w:r w:rsidRPr="00D00C5F">
        <w:rPr>
          <w:bCs/>
          <w:sz w:val="22"/>
          <w:szCs w:val="22"/>
          <w:lang w:val="en-US"/>
        </w:rPr>
        <w:t xml:space="preserve">. </w:t>
      </w:r>
    </w:p>
    <w:p w:rsidR="0077319B" w:rsidRPr="00FD3A9E" w:rsidRDefault="00171C54" w:rsidP="004A453C">
      <w:pPr>
        <w:tabs>
          <w:tab w:val="left" w:pos="4057"/>
        </w:tabs>
        <w:ind w:left="-709" w:firstLine="708"/>
        <w:jc w:val="both"/>
        <w:rPr>
          <w:rStyle w:val="apple-style-span"/>
          <w:sz w:val="22"/>
          <w:szCs w:val="22"/>
          <w:shd w:val="clear" w:color="auto" w:fill="FFFFFF"/>
          <w:lang w:val="en-US"/>
        </w:rPr>
      </w:pPr>
      <w:r>
        <w:rPr>
          <w:rStyle w:val="apple-style-span"/>
          <w:sz w:val="22"/>
          <w:szCs w:val="22"/>
          <w:shd w:val="clear" w:color="auto" w:fill="FFFFFF"/>
          <w:lang w:val="en-US"/>
        </w:rPr>
        <w:t>K</w:t>
      </w:r>
      <w:r w:rsidR="0060468E" w:rsidRPr="0060468E">
        <w:rPr>
          <w:rStyle w:val="apple-style-span"/>
          <w:sz w:val="22"/>
          <w:szCs w:val="22"/>
          <w:shd w:val="clear" w:color="auto" w:fill="FFFFFF"/>
          <w:lang w:val="en-US"/>
        </w:rPr>
        <w:t>AP in the 1st half of 2012 continued to increase output at existing mines, as</w:t>
      </w:r>
      <w:r>
        <w:rPr>
          <w:rStyle w:val="apple-style-span"/>
          <w:sz w:val="22"/>
          <w:szCs w:val="22"/>
          <w:shd w:val="clear" w:color="auto" w:fill="FFFFFF"/>
          <w:lang w:val="en-US"/>
        </w:rPr>
        <w:t xml:space="preserve"> well as carry</w:t>
      </w:r>
      <w:r w:rsidR="0060468E" w:rsidRPr="0060468E">
        <w:rPr>
          <w:rStyle w:val="apple-style-span"/>
          <w:sz w:val="22"/>
          <w:szCs w:val="22"/>
          <w:shd w:val="clear" w:color="auto" w:fill="FFFFFF"/>
          <w:lang w:val="en-US"/>
        </w:rPr>
        <w:t xml:space="preserve"> out measures to develop new mines. The total </w:t>
      </w:r>
      <w:proofErr w:type="gramStart"/>
      <w:r w:rsidR="0060468E" w:rsidRPr="0060468E">
        <w:rPr>
          <w:rStyle w:val="apple-style-span"/>
          <w:sz w:val="22"/>
          <w:szCs w:val="22"/>
          <w:shd w:val="clear" w:color="auto" w:fill="FFFFFF"/>
          <w:lang w:val="en-US"/>
        </w:rPr>
        <w:t>investment</w:t>
      </w:r>
      <w:r>
        <w:rPr>
          <w:rStyle w:val="apple-style-span"/>
          <w:sz w:val="22"/>
          <w:szCs w:val="22"/>
          <w:shd w:val="clear" w:color="auto" w:fill="FFFFFF"/>
          <w:lang w:val="en-US"/>
        </w:rPr>
        <w:t>s</w:t>
      </w:r>
      <w:r w:rsidR="0060468E" w:rsidRPr="0060468E">
        <w:rPr>
          <w:rStyle w:val="apple-style-span"/>
          <w:sz w:val="22"/>
          <w:szCs w:val="22"/>
          <w:shd w:val="clear" w:color="auto" w:fill="FFFFFF"/>
          <w:lang w:val="en-US"/>
        </w:rPr>
        <w:t xml:space="preserve"> for the period was</w:t>
      </w:r>
      <w:proofErr w:type="gramEnd"/>
      <w:r>
        <w:rPr>
          <w:rStyle w:val="apple-style-span"/>
          <w:sz w:val="22"/>
          <w:szCs w:val="22"/>
          <w:shd w:val="clear" w:color="auto" w:fill="FFFFFF"/>
          <w:lang w:val="en-US"/>
        </w:rPr>
        <w:t xml:space="preserve"> KZT </w:t>
      </w:r>
      <w:r w:rsidR="0060468E" w:rsidRPr="0060468E">
        <w:rPr>
          <w:rStyle w:val="apple-style-span"/>
          <w:sz w:val="22"/>
          <w:szCs w:val="22"/>
          <w:shd w:val="clear" w:color="auto" w:fill="FFFFFF"/>
          <w:lang w:val="en-US"/>
        </w:rPr>
        <w:t>12.1 billion.</w:t>
      </w:r>
    </w:p>
    <w:p w:rsidR="00344B3E" w:rsidRPr="00334790" w:rsidRDefault="00344B3E" w:rsidP="004A453C">
      <w:pPr>
        <w:tabs>
          <w:tab w:val="left" w:pos="4057"/>
        </w:tabs>
        <w:ind w:left="-709" w:firstLine="708"/>
        <w:jc w:val="both"/>
        <w:rPr>
          <w:rStyle w:val="apple-style-span"/>
          <w:sz w:val="22"/>
          <w:szCs w:val="22"/>
          <w:shd w:val="clear" w:color="auto" w:fill="FFFFFF"/>
          <w:lang w:val="en-US"/>
        </w:rPr>
      </w:pPr>
    </w:p>
    <w:p w:rsidR="00344B3E" w:rsidRPr="00334790" w:rsidRDefault="00344B3E" w:rsidP="004A453C">
      <w:pPr>
        <w:tabs>
          <w:tab w:val="left" w:pos="4057"/>
        </w:tabs>
        <w:ind w:left="-709" w:firstLine="708"/>
        <w:jc w:val="both"/>
        <w:rPr>
          <w:rStyle w:val="apple-style-span"/>
          <w:sz w:val="22"/>
          <w:szCs w:val="22"/>
          <w:shd w:val="clear" w:color="auto" w:fill="FFFFFF"/>
          <w:lang w:val="en-US"/>
        </w:rPr>
      </w:pPr>
    </w:p>
    <w:p w:rsidR="00584768" w:rsidRDefault="00584768" w:rsidP="004A453C">
      <w:pPr>
        <w:tabs>
          <w:tab w:val="left" w:pos="4057"/>
        </w:tabs>
        <w:ind w:left="-709" w:firstLine="708"/>
        <w:jc w:val="both"/>
        <w:rPr>
          <w:rStyle w:val="apple-style-span"/>
          <w:sz w:val="22"/>
          <w:szCs w:val="22"/>
          <w:shd w:val="clear" w:color="auto" w:fill="FFFFFF"/>
        </w:rPr>
      </w:pPr>
    </w:p>
    <w:p w:rsidR="00353DB4" w:rsidRPr="00353DB4" w:rsidRDefault="00353DB4" w:rsidP="004A453C">
      <w:pPr>
        <w:tabs>
          <w:tab w:val="left" w:pos="4057"/>
        </w:tabs>
        <w:ind w:left="-709" w:firstLine="708"/>
        <w:jc w:val="both"/>
        <w:rPr>
          <w:rStyle w:val="apple-style-span"/>
          <w:sz w:val="22"/>
          <w:szCs w:val="22"/>
          <w:shd w:val="clear" w:color="auto" w:fill="FFFFFF"/>
        </w:rPr>
      </w:pPr>
    </w:p>
    <w:p w:rsidR="002664E4" w:rsidRPr="00D00C5F" w:rsidRDefault="004A453C" w:rsidP="004A453C">
      <w:pPr>
        <w:tabs>
          <w:tab w:val="left" w:pos="4057"/>
        </w:tabs>
        <w:ind w:left="-709" w:firstLine="708"/>
        <w:jc w:val="both"/>
        <w:rPr>
          <w:rStyle w:val="apple-style-span"/>
          <w:sz w:val="22"/>
          <w:szCs w:val="22"/>
          <w:shd w:val="clear" w:color="auto" w:fill="FFFFFF"/>
          <w:lang w:val="en-US"/>
        </w:rPr>
      </w:pPr>
      <w:r>
        <w:rPr>
          <w:rStyle w:val="apple-style-span"/>
          <w:sz w:val="22"/>
          <w:szCs w:val="22"/>
          <w:shd w:val="clear" w:color="auto" w:fill="FFFFFF"/>
          <w:lang w:val="en-US"/>
        </w:rPr>
        <w:tab/>
      </w:r>
    </w:p>
    <w:p w:rsidR="002664E4" w:rsidRPr="0043545F" w:rsidRDefault="002664E4" w:rsidP="002664E4">
      <w:pPr>
        <w:tabs>
          <w:tab w:val="left" w:pos="426"/>
        </w:tabs>
        <w:ind w:left="-709" w:firstLine="709"/>
        <w:jc w:val="both"/>
        <w:rPr>
          <w:rStyle w:val="apple-style-span"/>
          <w:b/>
          <w:sz w:val="22"/>
          <w:szCs w:val="22"/>
          <w:shd w:val="clear" w:color="auto" w:fill="FFFFFF"/>
          <w:lang w:val="en-US"/>
        </w:rPr>
      </w:pPr>
      <w:r w:rsidRPr="000F2EFA">
        <w:rPr>
          <w:rStyle w:val="apple-style-span"/>
          <w:b/>
          <w:sz w:val="22"/>
          <w:szCs w:val="22"/>
          <w:shd w:val="clear" w:color="auto" w:fill="FFFFFF"/>
          <w:lang w:val="en-US"/>
        </w:rPr>
        <w:t>3</w:t>
      </w:r>
      <w:r>
        <w:rPr>
          <w:rStyle w:val="apple-style-span"/>
          <w:b/>
          <w:sz w:val="22"/>
          <w:szCs w:val="22"/>
          <w:shd w:val="clear" w:color="auto" w:fill="FFFFFF"/>
          <w:lang w:val="en-US"/>
        </w:rPr>
        <w:t>.3 “Transport” segment</w:t>
      </w:r>
    </w:p>
    <w:p w:rsidR="002664E4" w:rsidRPr="000F2EFA" w:rsidRDefault="002664E4" w:rsidP="002664E4">
      <w:pPr>
        <w:tabs>
          <w:tab w:val="left" w:pos="426"/>
        </w:tabs>
        <w:ind w:left="-709" w:firstLine="709"/>
        <w:jc w:val="both"/>
        <w:rPr>
          <w:rStyle w:val="apple-style-span"/>
          <w:b/>
          <w:sz w:val="22"/>
          <w:szCs w:val="22"/>
          <w:shd w:val="clear" w:color="auto" w:fill="FFFFFF"/>
          <w:lang w:val="en-US"/>
        </w:rPr>
      </w:pPr>
    </w:p>
    <w:p w:rsidR="002664E4" w:rsidRDefault="002664E4" w:rsidP="002664E4">
      <w:pPr>
        <w:tabs>
          <w:tab w:val="left" w:pos="426"/>
        </w:tabs>
        <w:ind w:left="-709" w:firstLine="709"/>
        <w:jc w:val="both"/>
        <w:rPr>
          <w:rStyle w:val="apple-style-span"/>
          <w:b/>
          <w:sz w:val="22"/>
          <w:szCs w:val="22"/>
          <w:shd w:val="clear" w:color="auto" w:fill="FFFFFF"/>
          <w:lang w:val="en-US"/>
        </w:rPr>
      </w:pPr>
      <w:r>
        <w:rPr>
          <w:rStyle w:val="apple-style-span"/>
          <w:b/>
          <w:sz w:val="22"/>
          <w:szCs w:val="22"/>
          <w:shd w:val="clear" w:color="auto" w:fill="FFFFFF"/>
          <w:lang w:val="en-US"/>
        </w:rPr>
        <w:t>Performance indicators</w:t>
      </w:r>
    </w:p>
    <w:p w:rsidR="00E83280" w:rsidRDefault="00E83280" w:rsidP="002664E4">
      <w:pPr>
        <w:tabs>
          <w:tab w:val="left" w:pos="426"/>
        </w:tabs>
        <w:ind w:left="-709" w:firstLine="709"/>
        <w:jc w:val="both"/>
        <w:rPr>
          <w:rStyle w:val="apple-style-span"/>
          <w:b/>
          <w:sz w:val="22"/>
          <w:szCs w:val="22"/>
          <w:shd w:val="clear" w:color="auto" w:fill="FFFFFF"/>
          <w:lang w:val="en-US"/>
        </w:rPr>
      </w:pPr>
    </w:p>
    <w:p w:rsidR="00344B3E" w:rsidRDefault="00E83280" w:rsidP="00344B3E">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D739E9" w:rsidRPr="00344B3E" w:rsidRDefault="00D739E9" w:rsidP="00344B3E">
      <w:pPr>
        <w:tabs>
          <w:tab w:val="left" w:pos="426"/>
        </w:tabs>
        <w:ind w:left="-709" w:firstLine="709"/>
        <w:jc w:val="both"/>
        <w:rPr>
          <w:rStyle w:val="apple-style-span"/>
          <w:sz w:val="22"/>
          <w:szCs w:val="22"/>
          <w:shd w:val="clear" w:color="auto" w:fill="FFFFFF"/>
          <w:lang w:val="en-US"/>
        </w:rPr>
      </w:pPr>
    </w:p>
    <w:tbl>
      <w:tblPr>
        <w:tblW w:w="949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6"/>
        <w:gridCol w:w="950"/>
        <w:gridCol w:w="851"/>
        <w:gridCol w:w="751"/>
        <w:gridCol w:w="808"/>
        <w:gridCol w:w="3544"/>
      </w:tblGrid>
      <w:tr w:rsidR="002664E4" w:rsidRPr="000F2EFA" w:rsidTr="00344B3E">
        <w:trPr>
          <w:trHeight w:val="390"/>
          <w:tblHeader/>
        </w:trPr>
        <w:tc>
          <w:tcPr>
            <w:tcW w:w="2586" w:type="dxa"/>
            <w:shd w:val="clear" w:color="auto" w:fill="auto"/>
            <w:tcMar>
              <w:top w:w="15" w:type="dxa"/>
              <w:left w:w="15" w:type="dxa"/>
              <w:bottom w:w="0" w:type="dxa"/>
              <w:right w:w="15" w:type="dxa"/>
            </w:tcMar>
            <w:vAlign w:val="center"/>
          </w:tcPr>
          <w:p w:rsidR="002664E4" w:rsidRPr="0043545F" w:rsidRDefault="002664E4" w:rsidP="00770BC8">
            <w:pPr>
              <w:jc w:val="center"/>
              <w:rPr>
                <w:b/>
                <w:bCs/>
                <w:iCs/>
                <w:sz w:val="18"/>
                <w:szCs w:val="18"/>
                <w:lang w:val="en-US"/>
              </w:rPr>
            </w:pPr>
            <w:r>
              <w:rPr>
                <w:b/>
                <w:bCs/>
                <w:iCs/>
                <w:sz w:val="18"/>
                <w:szCs w:val="18"/>
                <w:lang w:val="en-US"/>
              </w:rPr>
              <w:t xml:space="preserve">Description </w:t>
            </w:r>
          </w:p>
        </w:tc>
        <w:tc>
          <w:tcPr>
            <w:tcW w:w="950" w:type="dxa"/>
            <w:tcMar>
              <w:top w:w="15" w:type="dxa"/>
              <w:left w:w="15" w:type="dxa"/>
              <w:bottom w:w="0" w:type="dxa"/>
              <w:right w:w="15" w:type="dxa"/>
            </w:tcMar>
            <w:vAlign w:val="center"/>
          </w:tcPr>
          <w:p w:rsidR="002664E4" w:rsidRPr="0043545F" w:rsidRDefault="002664E4" w:rsidP="00770BC8">
            <w:pPr>
              <w:jc w:val="center"/>
              <w:rPr>
                <w:b/>
                <w:bCs/>
                <w:sz w:val="18"/>
                <w:szCs w:val="18"/>
                <w:lang w:val="en-US"/>
              </w:rPr>
            </w:pPr>
            <w:proofErr w:type="spellStart"/>
            <w:r>
              <w:rPr>
                <w:b/>
                <w:bCs/>
                <w:sz w:val="18"/>
                <w:szCs w:val="18"/>
                <w:lang w:val="en-US"/>
              </w:rPr>
              <w:t>UoM</w:t>
            </w:r>
            <w:proofErr w:type="spellEnd"/>
          </w:p>
        </w:tc>
        <w:tc>
          <w:tcPr>
            <w:tcW w:w="851" w:type="dxa"/>
            <w:shd w:val="clear" w:color="auto" w:fill="auto"/>
            <w:tcMar>
              <w:top w:w="15" w:type="dxa"/>
              <w:left w:w="15" w:type="dxa"/>
              <w:bottom w:w="0" w:type="dxa"/>
              <w:right w:w="15" w:type="dxa"/>
            </w:tcMar>
            <w:vAlign w:val="center"/>
          </w:tcPr>
          <w:p w:rsidR="002664E4" w:rsidRPr="000F2EFA" w:rsidRDefault="00A7588C" w:rsidP="00770BC8">
            <w:pPr>
              <w:jc w:val="center"/>
              <w:rPr>
                <w:b/>
                <w:bCs/>
                <w:sz w:val="18"/>
                <w:szCs w:val="18"/>
                <w:lang w:val="en-US"/>
              </w:rPr>
            </w:pPr>
            <w:r>
              <w:rPr>
                <w:b/>
                <w:bCs/>
                <w:sz w:val="18"/>
                <w:szCs w:val="18"/>
                <w:lang w:val="en-US"/>
              </w:rPr>
              <w:t>H1 2012</w:t>
            </w:r>
            <w:r w:rsidR="002664E4" w:rsidRPr="000F2EFA">
              <w:rPr>
                <w:b/>
                <w:bCs/>
                <w:sz w:val="18"/>
                <w:szCs w:val="18"/>
                <w:lang w:val="en-US"/>
              </w:rPr>
              <w:t xml:space="preserve"> </w:t>
            </w:r>
          </w:p>
        </w:tc>
        <w:tc>
          <w:tcPr>
            <w:tcW w:w="751" w:type="dxa"/>
            <w:tcMar>
              <w:top w:w="15" w:type="dxa"/>
              <w:left w:w="15" w:type="dxa"/>
              <w:bottom w:w="0" w:type="dxa"/>
              <w:right w:w="15" w:type="dxa"/>
            </w:tcMar>
            <w:vAlign w:val="center"/>
          </w:tcPr>
          <w:p w:rsidR="002664E4" w:rsidRPr="000F2EFA" w:rsidRDefault="00A7588C" w:rsidP="00B87FE0">
            <w:pPr>
              <w:jc w:val="center"/>
              <w:rPr>
                <w:b/>
                <w:bCs/>
                <w:sz w:val="18"/>
                <w:szCs w:val="18"/>
                <w:lang w:val="en-US"/>
              </w:rPr>
            </w:pPr>
            <w:r>
              <w:rPr>
                <w:b/>
                <w:bCs/>
                <w:sz w:val="18"/>
                <w:szCs w:val="18"/>
                <w:lang w:val="en-US"/>
              </w:rPr>
              <w:t>H1 2011</w:t>
            </w:r>
            <w:r w:rsidR="002664E4" w:rsidRPr="000F2EFA">
              <w:rPr>
                <w:b/>
                <w:bCs/>
                <w:sz w:val="18"/>
                <w:szCs w:val="18"/>
                <w:lang w:val="en-US"/>
              </w:rPr>
              <w:t xml:space="preserve"> </w:t>
            </w:r>
          </w:p>
        </w:tc>
        <w:tc>
          <w:tcPr>
            <w:tcW w:w="808" w:type="dxa"/>
            <w:tcMar>
              <w:top w:w="15" w:type="dxa"/>
              <w:left w:w="15" w:type="dxa"/>
              <w:bottom w:w="0" w:type="dxa"/>
              <w:right w:w="15" w:type="dxa"/>
            </w:tcMar>
            <w:vAlign w:val="center"/>
          </w:tcPr>
          <w:p w:rsidR="002664E4" w:rsidRPr="000F2EFA" w:rsidRDefault="00A7588C" w:rsidP="00770BC8">
            <w:pPr>
              <w:jc w:val="center"/>
              <w:rPr>
                <w:b/>
                <w:bCs/>
                <w:sz w:val="18"/>
                <w:szCs w:val="18"/>
                <w:lang w:val="en-US"/>
              </w:rPr>
            </w:pPr>
            <w:r>
              <w:rPr>
                <w:b/>
                <w:bCs/>
                <w:sz w:val="18"/>
                <w:szCs w:val="18"/>
                <w:lang w:val="en-US"/>
              </w:rPr>
              <w:t>H1 2012</w:t>
            </w:r>
            <w:r w:rsidR="002664E4" w:rsidRPr="000F2EFA">
              <w:rPr>
                <w:b/>
                <w:bCs/>
                <w:sz w:val="18"/>
                <w:szCs w:val="18"/>
                <w:lang w:val="en-US"/>
              </w:rPr>
              <w:t>/</w:t>
            </w:r>
            <w:r>
              <w:rPr>
                <w:b/>
                <w:bCs/>
                <w:sz w:val="18"/>
                <w:szCs w:val="18"/>
                <w:lang w:val="en-US"/>
              </w:rPr>
              <w:t>H1 2011</w:t>
            </w:r>
            <w:r w:rsidR="002664E4" w:rsidRPr="000F2EFA">
              <w:rPr>
                <w:b/>
                <w:bCs/>
                <w:sz w:val="18"/>
                <w:szCs w:val="18"/>
                <w:lang w:val="en-US"/>
              </w:rPr>
              <w:t xml:space="preserve">, </w:t>
            </w:r>
          </w:p>
          <w:p w:rsidR="002664E4" w:rsidRPr="000F2EFA" w:rsidRDefault="002664E4" w:rsidP="00770BC8">
            <w:pPr>
              <w:jc w:val="center"/>
              <w:rPr>
                <w:b/>
                <w:bCs/>
                <w:sz w:val="18"/>
                <w:szCs w:val="18"/>
                <w:lang w:val="en-US"/>
              </w:rPr>
            </w:pPr>
            <w:r>
              <w:rPr>
                <w:b/>
                <w:bCs/>
                <w:sz w:val="18"/>
                <w:szCs w:val="18"/>
                <w:lang w:val="en-US"/>
              </w:rPr>
              <w:t>in</w:t>
            </w:r>
            <w:r w:rsidRPr="000F2EFA">
              <w:rPr>
                <w:b/>
                <w:bCs/>
                <w:sz w:val="18"/>
                <w:szCs w:val="18"/>
                <w:lang w:val="en-US"/>
              </w:rPr>
              <w:t xml:space="preserve"> %</w:t>
            </w:r>
          </w:p>
        </w:tc>
        <w:tc>
          <w:tcPr>
            <w:tcW w:w="3544" w:type="dxa"/>
            <w:vAlign w:val="center"/>
          </w:tcPr>
          <w:p w:rsidR="002664E4" w:rsidRPr="0043545F" w:rsidRDefault="002664E4" w:rsidP="00770BC8">
            <w:pPr>
              <w:jc w:val="center"/>
              <w:rPr>
                <w:b/>
                <w:bCs/>
                <w:sz w:val="18"/>
                <w:szCs w:val="18"/>
                <w:lang w:val="en-US"/>
              </w:rPr>
            </w:pPr>
            <w:r>
              <w:rPr>
                <w:b/>
                <w:bCs/>
                <w:sz w:val="18"/>
                <w:szCs w:val="18"/>
                <w:lang w:val="en-US"/>
              </w:rPr>
              <w:t>Factors</w:t>
            </w:r>
          </w:p>
        </w:tc>
      </w:tr>
      <w:tr w:rsidR="00E924A2" w:rsidRPr="00353DB4" w:rsidTr="00344B3E">
        <w:trPr>
          <w:trHeight w:val="390"/>
        </w:trPr>
        <w:tc>
          <w:tcPr>
            <w:tcW w:w="2586" w:type="dxa"/>
            <w:shd w:val="clear" w:color="auto" w:fill="auto"/>
            <w:tcMar>
              <w:top w:w="15" w:type="dxa"/>
              <w:left w:w="15" w:type="dxa"/>
              <w:bottom w:w="0" w:type="dxa"/>
              <w:right w:w="15" w:type="dxa"/>
            </w:tcMar>
            <w:vAlign w:val="center"/>
          </w:tcPr>
          <w:p w:rsidR="00E924A2" w:rsidRPr="001D766D" w:rsidRDefault="00E924A2" w:rsidP="004F067A">
            <w:pPr>
              <w:jc w:val="both"/>
              <w:rPr>
                <w:sz w:val="16"/>
                <w:szCs w:val="16"/>
                <w:lang w:val="en-US"/>
              </w:rPr>
            </w:pPr>
            <w:r>
              <w:rPr>
                <w:sz w:val="16"/>
                <w:szCs w:val="16"/>
                <w:lang w:val="en-US"/>
              </w:rPr>
              <w:t>Loading</w:t>
            </w:r>
          </w:p>
        </w:tc>
        <w:tc>
          <w:tcPr>
            <w:tcW w:w="950" w:type="dxa"/>
            <w:tcMar>
              <w:top w:w="15" w:type="dxa"/>
              <w:left w:w="15" w:type="dxa"/>
              <w:bottom w:w="0" w:type="dxa"/>
              <w:right w:w="15" w:type="dxa"/>
            </w:tcMar>
            <w:vAlign w:val="center"/>
          </w:tcPr>
          <w:p w:rsidR="00E924A2" w:rsidRPr="006F04AB" w:rsidRDefault="00E924A2" w:rsidP="00770BC8">
            <w:pPr>
              <w:jc w:val="center"/>
              <w:rPr>
                <w:sz w:val="18"/>
                <w:szCs w:val="18"/>
                <w:lang w:val="en-US"/>
              </w:rPr>
            </w:pPr>
            <w:r>
              <w:rPr>
                <w:sz w:val="18"/>
                <w:szCs w:val="18"/>
                <w:lang w:val="en-US"/>
              </w:rPr>
              <w:t>Million tons</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 xml:space="preserve">127 </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120</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6,2</w:t>
            </w:r>
          </w:p>
        </w:tc>
        <w:tc>
          <w:tcPr>
            <w:tcW w:w="3544" w:type="dxa"/>
            <w:vAlign w:val="center"/>
          </w:tcPr>
          <w:p w:rsidR="00E924A2" w:rsidRPr="00E924A2" w:rsidRDefault="00E924A2" w:rsidP="00E924A2">
            <w:pPr>
              <w:rPr>
                <w:sz w:val="16"/>
                <w:szCs w:val="16"/>
                <w:lang w:val="en-US"/>
              </w:rPr>
            </w:pPr>
            <w:r w:rsidRPr="00E924A2">
              <w:rPr>
                <w:sz w:val="16"/>
                <w:szCs w:val="16"/>
                <w:lang w:val="en-US"/>
              </w:rPr>
              <w:t>Increase in loading of grain, ferrous ore, petroleum products, construction materials.</w:t>
            </w:r>
          </w:p>
        </w:tc>
      </w:tr>
      <w:tr w:rsidR="00E924A2" w:rsidRPr="00353DB4" w:rsidTr="00344B3E">
        <w:trPr>
          <w:trHeight w:val="390"/>
        </w:trPr>
        <w:tc>
          <w:tcPr>
            <w:tcW w:w="2586" w:type="dxa"/>
            <w:shd w:val="clear" w:color="auto" w:fill="auto"/>
            <w:tcMar>
              <w:top w:w="15" w:type="dxa"/>
              <w:left w:w="15" w:type="dxa"/>
              <w:bottom w:w="0" w:type="dxa"/>
              <w:right w:w="15" w:type="dxa"/>
            </w:tcMar>
            <w:vAlign w:val="center"/>
          </w:tcPr>
          <w:p w:rsidR="00E924A2" w:rsidRDefault="00E924A2" w:rsidP="004F067A">
            <w:pPr>
              <w:jc w:val="both"/>
              <w:rPr>
                <w:sz w:val="16"/>
                <w:szCs w:val="16"/>
                <w:lang w:val="en-US"/>
              </w:rPr>
            </w:pPr>
            <w:r>
              <w:rPr>
                <w:sz w:val="16"/>
                <w:szCs w:val="16"/>
                <w:lang w:val="en-US"/>
              </w:rPr>
              <w:t>Tariff cargo turnover</w:t>
            </w:r>
          </w:p>
        </w:tc>
        <w:tc>
          <w:tcPr>
            <w:tcW w:w="950" w:type="dxa"/>
            <w:tcMar>
              <w:top w:w="15" w:type="dxa"/>
              <w:left w:w="15" w:type="dxa"/>
              <w:bottom w:w="0" w:type="dxa"/>
              <w:right w:w="15" w:type="dxa"/>
            </w:tcMar>
            <w:vAlign w:val="center"/>
          </w:tcPr>
          <w:p w:rsidR="00E924A2" w:rsidRDefault="00E924A2" w:rsidP="00770BC8">
            <w:pPr>
              <w:jc w:val="center"/>
              <w:rPr>
                <w:sz w:val="18"/>
                <w:szCs w:val="18"/>
                <w:lang w:val="en-US"/>
              </w:rPr>
            </w:pPr>
            <w:r>
              <w:rPr>
                <w:sz w:val="18"/>
                <w:szCs w:val="18"/>
                <w:lang w:val="en-US"/>
              </w:rPr>
              <w:t xml:space="preserve">Million </w:t>
            </w:r>
            <w:proofErr w:type="spellStart"/>
            <w:r>
              <w:rPr>
                <w:sz w:val="18"/>
                <w:szCs w:val="18"/>
                <w:lang w:val="en-US"/>
              </w:rPr>
              <w:t>tkm</w:t>
            </w:r>
            <w:proofErr w:type="spellEnd"/>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116 229</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103 772</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12,0</w:t>
            </w:r>
          </w:p>
        </w:tc>
        <w:tc>
          <w:tcPr>
            <w:tcW w:w="3544" w:type="dxa"/>
            <w:vAlign w:val="center"/>
          </w:tcPr>
          <w:p w:rsidR="00E924A2" w:rsidRPr="00E924A2" w:rsidRDefault="00E924A2" w:rsidP="00E924A2">
            <w:pPr>
              <w:rPr>
                <w:sz w:val="16"/>
                <w:szCs w:val="16"/>
                <w:lang w:val="en-US"/>
              </w:rPr>
            </w:pPr>
            <w:r w:rsidRPr="00E924A2">
              <w:rPr>
                <w:sz w:val="16"/>
                <w:szCs w:val="16"/>
                <w:lang w:val="en-US"/>
              </w:rPr>
              <w:t>Increase in transportation of grain, oil products, chemicals and soda, ferrous metals, food, machinery and equipment.</w:t>
            </w:r>
          </w:p>
        </w:tc>
      </w:tr>
      <w:tr w:rsidR="00E924A2" w:rsidRPr="00353DB4" w:rsidTr="00344B3E">
        <w:trPr>
          <w:trHeight w:val="390"/>
        </w:trPr>
        <w:tc>
          <w:tcPr>
            <w:tcW w:w="2586" w:type="dxa"/>
            <w:shd w:val="clear" w:color="auto" w:fill="auto"/>
            <w:tcMar>
              <w:top w:w="15" w:type="dxa"/>
              <w:left w:w="15" w:type="dxa"/>
              <w:bottom w:w="0" w:type="dxa"/>
              <w:right w:w="15" w:type="dxa"/>
            </w:tcMar>
            <w:vAlign w:val="center"/>
          </w:tcPr>
          <w:p w:rsidR="00E924A2" w:rsidRDefault="00E924A2" w:rsidP="004F067A">
            <w:pPr>
              <w:jc w:val="both"/>
              <w:rPr>
                <w:sz w:val="16"/>
                <w:szCs w:val="16"/>
                <w:lang w:val="en-US"/>
              </w:rPr>
            </w:pPr>
            <w:r w:rsidRPr="001D766D">
              <w:rPr>
                <w:sz w:val="16"/>
                <w:szCs w:val="16"/>
                <w:lang w:val="en-US"/>
              </w:rPr>
              <w:t>Cargo transported</w:t>
            </w:r>
          </w:p>
        </w:tc>
        <w:tc>
          <w:tcPr>
            <w:tcW w:w="950" w:type="dxa"/>
            <w:tcMar>
              <w:top w:w="15" w:type="dxa"/>
              <w:left w:w="15" w:type="dxa"/>
              <w:bottom w:w="0" w:type="dxa"/>
              <w:right w:w="15" w:type="dxa"/>
            </w:tcMar>
            <w:vAlign w:val="center"/>
          </w:tcPr>
          <w:p w:rsidR="00E924A2" w:rsidRPr="006F04AB" w:rsidRDefault="00E924A2" w:rsidP="00300106">
            <w:pPr>
              <w:jc w:val="center"/>
              <w:rPr>
                <w:sz w:val="18"/>
                <w:szCs w:val="18"/>
                <w:lang w:val="en-US"/>
              </w:rPr>
            </w:pPr>
            <w:r>
              <w:rPr>
                <w:sz w:val="18"/>
                <w:szCs w:val="18"/>
                <w:lang w:val="en-US"/>
              </w:rPr>
              <w:t>Million tons</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143</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 xml:space="preserve">134 </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6,8</w:t>
            </w:r>
          </w:p>
        </w:tc>
        <w:tc>
          <w:tcPr>
            <w:tcW w:w="3544" w:type="dxa"/>
            <w:vAlign w:val="center"/>
          </w:tcPr>
          <w:p w:rsidR="00E924A2" w:rsidRPr="00E924A2" w:rsidRDefault="00E924A2" w:rsidP="00E924A2">
            <w:pPr>
              <w:rPr>
                <w:sz w:val="16"/>
                <w:szCs w:val="16"/>
                <w:lang w:val="en-US"/>
              </w:rPr>
            </w:pPr>
            <w:r w:rsidRPr="00E924A2">
              <w:rPr>
                <w:sz w:val="16"/>
                <w:szCs w:val="16"/>
                <w:lang w:val="en-US"/>
              </w:rPr>
              <w:t>Cargo traffic growth in intra and transit</w:t>
            </w:r>
          </w:p>
        </w:tc>
      </w:tr>
      <w:tr w:rsidR="00E924A2" w:rsidRPr="00353DB4" w:rsidTr="00344B3E">
        <w:trPr>
          <w:trHeight w:val="739"/>
        </w:trPr>
        <w:tc>
          <w:tcPr>
            <w:tcW w:w="2586" w:type="dxa"/>
            <w:shd w:val="clear" w:color="auto" w:fill="auto"/>
            <w:tcMar>
              <w:top w:w="15" w:type="dxa"/>
              <w:left w:w="15" w:type="dxa"/>
              <w:bottom w:w="0" w:type="dxa"/>
              <w:right w:w="15" w:type="dxa"/>
            </w:tcMar>
            <w:vAlign w:val="center"/>
          </w:tcPr>
          <w:p w:rsidR="00E924A2" w:rsidRPr="001D766D" w:rsidRDefault="00E924A2" w:rsidP="004F067A">
            <w:pPr>
              <w:jc w:val="both"/>
              <w:rPr>
                <w:sz w:val="16"/>
                <w:szCs w:val="16"/>
                <w:lang w:val="en-US"/>
              </w:rPr>
            </w:pPr>
            <w:r w:rsidRPr="001D766D">
              <w:rPr>
                <w:sz w:val="16"/>
                <w:szCs w:val="16"/>
                <w:lang w:val="en-US"/>
              </w:rPr>
              <w:t>Passenger turnover</w:t>
            </w:r>
          </w:p>
        </w:tc>
        <w:tc>
          <w:tcPr>
            <w:tcW w:w="950" w:type="dxa"/>
            <w:tcMar>
              <w:top w:w="15" w:type="dxa"/>
              <w:left w:w="15" w:type="dxa"/>
              <w:bottom w:w="0" w:type="dxa"/>
              <w:right w:w="15" w:type="dxa"/>
            </w:tcMar>
            <w:vAlign w:val="center"/>
          </w:tcPr>
          <w:p w:rsidR="00E924A2" w:rsidRPr="006F04AB" w:rsidRDefault="00E924A2" w:rsidP="00770BC8">
            <w:pPr>
              <w:jc w:val="center"/>
              <w:rPr>
                <w:sz w:val="18"/>
                <w:szCs w:val="18"/>
                <w:lang w:val="en-US"/>
              </w:rPr>
            </w:pPr>
            <w:r>
              <w:rPr>
                <w:sz w:val="18"/>
                <w:szCs w:val="18"/>
                <w:lang w:val="en-US"/>
              </w:rPr>
              <w:t>Million passenger km</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7 429</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6 559</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13,3</w:t>
            </w:r>
          </w:p>
        </w:tc>
        <w:tc>
          <w:tcPr>
            <w:tcW w:w="3544" w:type="dxa"/>
            <w:vAlign w:val="center"/>
          </w:tcPr>
          <w:p w:rsidR="00E924A2" w:rsidRPr="00E924A2" w:rsidRDefault="00E924A2" w:rsidP="00E924A2">
            <w:pPr>
              <w:rPr>
                <w:sz w:val="16"/>
                <w:szCs w:val="16"/>
                <w:lang w:val="en-US"/>
              </w:rPr>
            </w:pPr>
            <w:r w:rsidRPr="00E924A2">
              <w:rPr>
                <w:sz w:val="16"/>
                <w:szCs w:val="16"/>
                <w:lang w:val="en-US"/>
              </w:rPr>
              <w:t>Inclusion of additional cars to transport passengers on holidays and days before holidays, as well as increasing the routes served by the JSC “Passenger transportation”</w:t>
            </w:r>
          </w:p>
        </w:tc>
      </w:tr>
      <w:tr w:rsidR="00E924A2" w:rsidRPr="00353DB4" w:rsidTr="00344B3E">
        <w:trPr>
          <w:trHeight w:val="230"/>
        </w:trPr>
        <w:tc>
          <w:tcPr>
            <w:tcW w:w="2586" w:type="dxa"/>
            <w:shd w:val="clear" w:color="auto" w:fill="auto"/>
            <w:tcMar>
              <w:top w:w="15" w:type="dxa"/>
              <w:left w:w="15" w:type="dxa"/>
              <w:bottom w:w="0" w:type="dxa"/>
              <w:right w:w="15" w:type="dxa"/>
            </w:tcMar>
            <w:vAlign w:val="center"/>
          </w:tcPr>
          <w:p w:rsidR="00E924A2" w:rsidRPr="001D766D" w:rsidRDefault="00E924A2" w:rsidP="00770BC8">
            <w:pPr>
              <w:jc w:val="both"/>
              <w:rPr>
                <w:sz w:val="16"/>
                <w:szCs w:val="16"/>
                <w:lang w:val="en-US"/>
              </w:rPr>
            </w:pPr>
            <w:r w:rsidRPr="001D766D">
              <w:rPr>
                <w:sz w:val="16"/>
                <w:szCs w:val="16"/>
                <w:lang w:val="en-US"/>
              </w:rPr>
              <w:t>Flying time</w:t>
            </w:r>
          </w:p>
        </w:tc>
        <w:tc>
          <w:tcPr>
            <w:tcW w:w="950" w:type="dxa"/>
            <w:tcMar>
              <w:top w:w="15" w:type="dxa"/>
              <w:left w:w="15" w:type="dxa"/>
              <w:bottom w:w="0" w:type="dxa"/>
              <w:right w:w="15" w:type="dxa"/>
            </w:tcMar>
            <w:vAlign w:val="center"/>
          </w:tcPr>
          <w:p w:rsidR="00E924A2" w:rsidRPr="006F04AB" w:rsidRDefault="00E924A2" w:rsidP="00770BC8">
            <w:pPr>
              <w:jc w:val="center"/>
              <w:rPr>
                <w:sz w:val="18"/>
                <w:szCs w:val="18"/>
                <w:lang w:val="en-US"/>
              </w:rPr>
            </w:pP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40 854</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lang w:val="en-US"/>
              </w:rPr>
            </w:pPr>
            <w:r w:rsidRPr="0042374B">
              <w:rPr>
                <w:sz w:val="18"/>
                <w:szCs w:val="18"/>
                <w:lang w:val="en-US"/>
              </w:rPr>
              <w:t>37 554</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lang w:val="en-US"/>
              </w:rPr>
              <w:t>10</w:t>
            </w:r>
            <w:r w:rsidRPr="0042374B">
              <w:rPr>
                <w:sz w:val="18"/>
                <w:szCs w:val="18"/>
              </w:rPr>
              <w:t>8,8</w:t>
            </w:r>
          </w:p>
        </w:tc>
        <w:tc>
          <w:tcPr>
            <w:tcW w:w="3544" w:type="dxa"/>
            <w:vAlign w:val="center"/>
          </w:tcPr>
          <w:p w:rsidR="00E924A2" w:rsidRPr="00E924A2" w:rsidRDefault="00E924A2" w:rsidP="00E924A2">
            <w:pPr>
              <w:rPr>
                <w:sz w:val="16"/>
                <w:szCs w:val="16"/>
                <w:lang w:val="en-US"/>
              </w:rPr>
            </w:pPr>
            <w:r w:rsidRPr="00E924A2">
              <w:rPr>
                <w:sz w:val="16"/>
                <w:szCs w:val="16"/>
                <w:lang w:val="en-US"/>
              </w:rPr>
              <w:t>Due to the expansion of the route network</w:t>
            </w:r>
          </w:p>
        </w:tc>
      </w:tr>
      <w:tr w:rsidR="00E924A2" w:rsidRPr="00B5391C" w:rsidTr="00344B3E">
        <w:trPr>
          <w:trHeight w:val="261"/>
        </w:trPr>
        <w:tc>
          <w:tcPr>
            <w:tcW w:w="2586" w:type="dxa"/>
            <w:shd w:val="clear" w:color="auto" w:fill="auto"/>
            <w:tcMar>
              <w:top w:w="15" w:type="dxa"/>
              <w:left w:w="15" w:type="dxa"/>
              <w:bottom w:w="0" w:type="dxa"/>
              <w:right w:w="15" w:type="dxa"/>
            </w:tcMar>
            <w:vAlign w:val="center"/>
          </w:tcPr>
          <w:p w:rsidR="00E924A2" w:rsidRPr="001D766D" w:rsidRDefault="00E924A2" w:rsidP="00770BC8">
            <w:pPr>
              <w:jc w:val="both"/>
              <w:rPr>
                <w:sz w:val="16"/>
                <w:szCs w:val="16"/>
                <w:lang w:val="en-US"/>
              </w:rPr>
            </w:pPr>
            <w:r w:rsidRPr="001D766D">
              <w:rPr>
                <w:sz w:val="16"/>
                <w:szCs w:val="16"/>
                <w:lang w:val="en-US"/>
              </w:rPr>
              <w:t>Passengers transported</w:t>
            </w:r>
          </w:p>
        </w:tc>
        <w:tc>
          <w:tcPr>
            <w:tcW w:w="950" w:type="dxa"/>
            <w:tcMar>
              <w:top w:w="15" w:type="dxa"/>
              <w:left w:w="15" w:type="dxa"/>
              <w:bottom w:w="0" w:type="dxa"/>
              <w:right w:w="15" w:type="dxa"/>
            </w:tcMar>
            <w:vAlign w:val="center"/>
          </w:tcPr>
          <w:p w:rsidR="00E924A2" w:rsidRPr="006F04AB" w:rsidRDefault="00E924A2" w:rsidP="00770BC8">
            <w:pPr>
              <w:jc w:val="center"/>
              <w:rPr>
                <w:sz w:val="18"/>
                <w:szCs w:val="18"/>
                <w:lang w:val="en-US"/>
              </w:rPr>
            </w:pPr>
            <w:r>
              <w:rPr>
                <w:bCs/>
                <w:sz w:val="18"/>
                <w:szCs w:val="18"/>
                <w:lang w:val="en-US"/>
              </w:rPr>
              <w:t>people</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1 524 734</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w:t>
            </w:r>
            <w:r w:rsidRPr="0042374B">
              <w:rPr>
                <w:sz w:val="18"/>
                <w:szCs w:val="18"/>
                <w:lang w:val="en-US"/>
              </w:rPr>
              <w:t> </w:t>
            </w:r>
            <w:r w:rsidRPr="0042374B">
              <w:rPr>
                <w:sz w:val="18"/>
                <w:szCs w:val="18"/>
              </w:rPr>
              <w:t>355 123</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112,5</w:t>
            </w:r>
          </w:p>
        </w:tc>
        <w:tc>
          <w:tcPr>
            <w:tcW w:w="3544" w:type="dxa"/>
            <w:vMerge w:val="restart"/>
            <w:vAlign w:val="center"/>
          </w:tcPr>
          <w:p w:rsidR="00E924A2" w:rsidRPr="00E924A2" w:rsidRDefault="00E924A2" w:rsidP="00E924A2">
            <w:pPr>
              <w:rPr>
                <w:sz w:val="16"/>
                <w:szCs w:val="16"/>
                <w:lang w:val="en-US"/>
              </w:rPr>
            </w:pPr>
            <w:r w:rsidRPr="00E924A2">
              <w:rPr>
                <w:sz w:val="16"/>
                <w:szCs w:val="16"/>
                <w:lang w:val="en-US"/>
              </w:rPr>
              <w:t>Due to the expansion of the route network and increase of capacities.</w:t>
            </w:r>
          </w:p>
          <w:p w:rsidR="00E924A2" w:rsidRPr="00E924A2" w:rsidRDefault="00E924A2" w:rsidP="00E924A2">
            <w:pPr>
              <w:rPr>
                <w:sz w:val="16"/>
                <w:szCs w:val="16"/>
                <w:lang w:val="en-US"/>
              </w:rPr>
            </w:pPr>
          </w:p>
        </w:tc>
      </w:tr>
      <w:tr w:rsidR="00E924A2" w:rsidRPr="00617070" w:rsidTr="00344B3E">
        <w:trPr>
          <w:trHeight w:val="205"/>
        </w:trPr>
        <w:tc>
          <w:tcPr>
            <w:tcW w:w="2586" w:type="dxa"/>
            <w:shd w:val="clear" w:color="auto" w:fill="auto"/>
            <w:tcMar>
              <w:top w:w="15" w:type="dxa"/>
              <w:left w:w="15" w:type="dxa"/>
              <w:bottom w:w="0" w:type="dxa"/>
              <w:right w:w="15" w:type="dxa"/>
            </w:tcMar>
            <w:vAlign w:val="center"/>
          </w:tcPr>
          <w:p w:rsidR="00E924A2" w:rsidRPr="001D766D" w:rsidRDefault="00E924A2" w:rsidP="00A7588C">
            <w:pPr>
              <w:jc w:val="both"/>
              <w:rPr>
                <w:sz w:val="16"/>
                <w:szCs w:val="16"/>
                <w:lang w:val="en-US"/>
              </w:rPr>
            </w:pPr>
            <w:r w:rsidRPr="001D766D">
              <w:rPr>
                <w:sz w:val="16"/>
                <w:szCs w:val="16"/>
                <w:lang w:val="en-US"/>
              </w:rPr>
              <w:t>Cargo transported</w:t>
            </w:r>
          </w:p>
        </w:tc>
        <w:tc>
          <w:tcPr>
            <w:tcW w:w="950" w:type="dxa"/>
            <w:tcMar>
              <w:top w:w="15" w:type="dxa"/>
              <w:left w:w="15" w:type="dxa"/>
              <w:bottom w:w="0" w:type="dxa"/>
              <w:right w:w="15" w:type="dxa"/>
            </w:tcMar>
            <w:vAlign w:val="center"/>
          </w:tcPr>
          <w:p w:rsidR="00E924A2" w:rsidRPr="006F04AB" w:rsidRDefault="00E924A2" w:rsidP="00770BC8">
            <w:pPr>
              <w:jc w:val="center"/>
              <w:rPr>
                <w:sz w:val="18"/>
                <w:szCs w:val="18"/>
                <w:lang w:val="en-US"/>
              </w:rPr>
            </w:pPr>
            <w:r>
              <w:rPr>
                <w:bCs/>
                <w:sz w:val="18"/>
                <w:szCs w:val="18"/>
                <w:lang w:val="en-US"/>
              </w:rPr>
              <w:t>tons</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8 336</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8 030</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103,8</w:t>
            </w:r>
          </w:p>
        </w:tc>
        <w:tc>
          <w:tcPr>
            <w:tcW w:w="3544" w:type="dxa"/>
            <w:vMerge/>
            <w:vAlign w:val="center"/>
          </w:tcPr>
          <w:p w:rsidR="00E924A2" w:rsidRPr="00E53CC2" w:rsidRDefault="00E924A2" w:rsidP="00E924A2">
            <w:pPr>
              <w:ind w:left="100" w:right="42"/>
              <w:rPr>
                <w:sz w:val="16"/>
                <w:szCs w:val="16"/>
                <w:lang w:val="en-US"/>
              </w:rPr>
            </w:pPr>
          </w:p>
        </w:tc>
      </w:tr>
      <w:tr w:rsidR="00E924A2" w:rsidRPr="00617070" w:rsidTr="00344B3E">
        <w:trPr>
          <w:trHeight w:val="250"/>
        </w:trPr>
        <w:tc>
          <w:tcPr>
            <w:tcW w:w="2586" w:type="dxa"/>
            <w:shd w:val="clear" w:color="auto" w:fill="auto"/>
            <w:tcMar>
              <w:top w:w="15" w:type="dxa"/>
              <w:left w:w="15" w:type="dxa"/>
              <w:bottom w:w="0" w:type="dxa"/>
              <w:right w:w="15" w:type="dxa"/>
            </w:tcMar>
            <w:vAlign w:val="center"/>
          </w:tcPr>
          <w:p w:rsidR="00E924A2" w:rsidRPr="001D766D" w:rsidRDefault="00E924A2" w:rsidP="00A7588C">
            <w:pPr>
              <w:jc w:val="both"/>
              <w:rPr>
                <w:sz w:val="16"/>
                <w:szCs w:val="16"/>
                <w:lang w:val="en-US"/>
              </w:rPr>
            </w:pPr>
            <w:r>
              <w:rPr>
                <w:sz w:val="16"/>
                <w:szCs w:val="16"/>
                <w:lang w:val="en-US"/>
              </w:rPr>
              <w:t>B</w:t>
            </w:r>
            <w:r w:rsidRPr="001D766D">
              <w:rPr>
                <w:sz w:val="16"/>
                <w:szCs w:val="16"/>
                <w:lang w:val="en-US"/>
              </w:rPr>
              <w:t>aggage</w:t>
            </w:r>
            <w:r>
              <w:rPr>
                <w:sz w:val="16"/>
                <w:szCs w:val="16"/>
                <w:lang w:val="en-US"/>
              </w:rPr>
              <w:t xml:space="preserve"> </w:t>
            </w:r>
            <w:r w:rsidRPr="001D766D">
              <w:rPr>
                <w:sz w:val="16"/>
                <w:szCs w:val="16"/>
                <w:lang w:val="en-US"/>
              </w:rPr>
              <w:t xml:space="preserve">transported </w:t>
            </w:r>
          </w:p>
        </w:tc>
        <w:tc>
          <w:tcPr>
            <w:tcW w:w="950" w:type="dxa"/>
            <w:tcMar>
              <w:top w:w="15" w:type="dxa"/>
              <w:left w:w="15" w:type="dxa"/>
              <w:bottom w:w="0" w:type="dxa"/>
              <w:right w:w="15" w:type="dxa"/>
            </w:tcMar>
            <w:vAlign w:val="center"/>
          </w:tcPr>
          <w:p w:rsidR="00E924A2" w:rsidRPr="0043545F" w:rsidRDefault="00E924A2" w:rsidP="00770BC8">
            <w:pPr>
              <w:jc w:val="center"/>
              <w:rPr>
                <w:sz w:val="18"/>
                <w:szCs w:val="18"/>
                <w:lang w:val="en-US"/>
              </w:rPr>
            </w:pPr>
            <w:r>
              <w:rPr>
                <w:sz w:val="18"/>
                <w:szCs w:val="18"/>
                <w:lang w:val="en-US"/>
              </w:rPr>
              <w:t>tons</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780</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444</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175,7</w:t>
            </w:r>
          </w:p>
        </w:tc>
        <w:tc>
          <w:tcPr>
            <w:tcW w:w="3544" w:type="dxa"/>
            <w:vMerge/>
            <w:vAlign w:val="center"/>
          </w:tcPr>
          <w:p w:rsidR="00E924A2" w:rsidRPr="00E53CC2" w:rsidRDefault="00E924A2" w:rsidP="00E924A2">
            <w:pPr>
              <w:ind w:left="100" w:right="42"/>
              <w:rPr>
                <w:sz w:val="16"/>
                <w:szCs w:val="16"/>
                <w:lang w:val="en-US"/>
              </w:rPr>
            </w:pPr>
          </w:p>
        </w:tc>
      </w:tr>
      <w:tr w:rsidR="00E924A2" w:rsidRPr="00617070" w:rsidTr="00344B3E">
        <w:trPr>
          <w:trHeight w:val="271"/>
        </w:trPr>
        <w:tc>
          <w:tcPr>
            <w:tcW w:w="2586" w:type="dxa"/>
            <w:shd w:val="clear" w:color="auto" w:fill="auto"/>
            <w:tcMar>
              <w:top w:w="15" w:type="dxa"/>
              <w:left w:w="15" w:type="dxa"/>
              <w:bottom w:w="0" w:type="dxa"/>
              <w:right w:w="15" w:type="dxa"/>
            </w:tcMar>
            <w:vAlign w:val="center"/>
          </w:tcPr>
          <w:p w:rsidR="00E924A2" w:rsidRPr="006F04AB" w:rsidRDefault="00E924A2" w:rsidP="00770BC8">
            <w:pPr>
              <w:jc w:val="both"/>
              <w:rPr>
                <w:sz w:val="16"/>
                <w:szCs w:val="16"/>
                <w:lang w:val="en-US"/>
              </w:rPr>
            </w:pPr>
            <w:r>
              <w:rPr>
                <w:sz w:val="16"/>
                <w:szCs w:val="16"/>
                <w:lang w:val="en-US"/>
              </w:rPr>
              <w:t>M</w:t>
            </w:r>
            <w:r w:rsidRPr="001D766D">
              <w:rPr>
                <w:sz w:val="16"/>
                <w:szCs w:val="16"/>
                <w:lang w:val="en-US"/>
              </w:rPr>
              <w:t>ail transported</w:t>
            </w:r>
          </w:p>
        </w:tc>
        <w:tc>
          <w:tcPr>
            <w:tcW w:w="950" w:type="dxa"/>
            <w:tcMar>
              <w:top w:w="15" w:type="dxa"/>
              <w:left w:w="15" w:type="dxa"/>
              <w:bottom w:w="0" w:type="dxa"/>
              <w:right w:w="15" w:type="dxa"/>
            </w:tcMar>
            <w:vAlign w:val="center"/>
          </w:tcPr>
          <w:p w:rsidR="00E924A2" w:rsidRPr="004F067A" w:rsidRDefault="00E924A2" w:rsidP="00770BC8">
            <w:pPr>
              <w:jc w:val="center"/>
              <w:rPr>
                <w:sz w:val="18"/>
                <w:szCs w:val="18"/>
                <w:lang w:val="en-US"/>
              </w:rPr>
            </w:pPr>
            <w:r>
              <w:rPr>
                <w:sz w:val="18"/>
                <w:szCs w:val="18"/>
                <w:lang w:val="en-US"/>
              </w:rPr>
              <w:t>tons</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516</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422</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rPr>
              <w:t>122,7</w:t>
            </w:r>
          </w:p>
        </w:tc>
        <w:tc>
          <w:tcPr>
            <w:tcW w:w="3544" w:type="dxa"/>
            <w:vMerge/>
            <w:vAlign w:val="center"/>
          </w:tcPr>
          <w:p w:rsidR="00E924A2" w:rsidRPr="00E53CC2" w:rsidRDefault="00E924A2" w:rsidP="00E924A2">
            <w:pPr>
              <w:ind w:left="100" w:right="42"/>
              <w:rPr>
                <w:sz w:val="16"/>
                <w:szCs w:val="16"/>
                <w:lang w:val="en-US"/>
              </w:rPr>
            </w:pPr>
          </w:p>
        </w:tc>
      </w:tr>
      <w:tr w:rsidR="00E924A2" w:rsidRPr="00B5391C" w:rsidTr="00344B3E">
        <w:trPr>
          <w:trHeight w:val="539"/>
        </w:trPr>
        <w:tc>
          <w:tcPr>
            <w:tcW w:w="2586" w:type="dxa"/>
            <w:shd w:val="clear" w:color="auto" w:fill="auto"/>
            <w:tcMar>
              <w:top w:w="15" w:type="dxa"/>
              <w:left w:w="15" w:type="dxa"/>
              <w:bottom w:w="0" w:type="dxa"/>
              <w:right w:w="15" w:type="dxa"/>
            </w:tcMar>
            <w:vAlign w:val="center"/>
          </w:tcPr>
          <w:p w:rsidR="00E924A2" w:rsidRPr="00E53CC2" w:rsidRDefault="00E924A2" w:rsidP="00D53BF8">
            <w:pPr>
              <w:ind w:right="93"/>
              <w:jc w:val="both"/>
              <w:rPr>
                <w:sz w:val="16"/>
                <w:szCs w:val="16"/>
                <w:lang w:val="en-US"/>
              </w:rPr>
            </w:pPr>
            <w:r>
              <w:rPr>
                <w:sz w:val="16"/>
                <w:szCs w:val="16"/>
                <w:lang w:val="en-US"/>
              </w:rPr>
              <w:t>A</w:t>
            </w:r>
            <w:r w:rsidRPr="00A7588C">
              <w:rPr>
                <w:sz w:val="16"/>
                <w:szCs w:val="16"/>
                <w:lang w:val="en-US"/>
              </w:rPr>
              <w:t>verage number of</w:t>
            </w:r>
            <w:r>
              <w:rPr>
                <w:sz w:val="16"/>
                <w:szCs w:val="16"/>
                <w:lang w:val="en-US"/>
              </w:rPr>
              <w:t xml:space="preserve"> employees (Air Astana)</w:t>
            </w:r>
          </w:p>
        </w:tc>
        <w:tc>
          <w:tcPr>
            <w:tcW w:w="950" w:type="dxa"/>
            <w:tcMar>
              <w:top w:w="15" w:type="dxa"/>
              <w:left w:w="15" w:type="dxa"/>
              <w:bottom w:w="0" w:type="dxa"/>
              <w:right w:w="15" w:type="dxa"/>
            </w:tcMar>
            <w:vAlign w:val="center"/>
          </w:tcPr>
          <w:p w:rsidR="00E924A2" w:rsidRPr="004F067A" w:rsidRDefault="00E924A2" w:rsidP="00770BC8">
            <w:pPr>
              <w:jc w:val="center"/>
              <w:rPr>
                <w:sz w:val="18"/>
                <w:szCs w:val="18"/>
                <w:lang w:val="en-US"/>
              </w:rPr>
            </w:pPr>
            <w:r>
              <w:rPr>
                <w:sz w:val="18"/>
                <w:szCs w:val="18"/>
                <w:lang w:val="en-US"/>
              </w:rPr>
              <w:t>people</w:t>
            </w:r>
          </w:p>
        </w:tc>
        <w:tc>
          <w:tcPr>
            <w:tcW w:w="851" w:type="dxa"/>
            <w:shd w:val="clear" w:color="auto" w:fill="auto"/>
            <w:tcMar>
              <w:top w:w="15" w:type="dxa"/>
              <w:left w:w="15" w:type="dxa"/>
              <w:bottom w:w="0" w:type="dxa"/>
              <w:right w:w="15" w:type="dxa"/>
            </w:tcMar>
            <w:vAlign w:val="center"/>
          </w:tcPr>
          <w:p w:rsidR="00E924A2" w:rsidRPr="0042374B" w:rsidRDefault="00E924A2" w:rsidP="00300106">
            <w:pPr>
              <w:jc w:val="center"/>
              <w:rPr>
                <w:sz w:val="18"/>
                <w:szCs w:val="18"/>
                <w:lang w:val="en-US"/>
              </w:rPr>
            </w:pPr>
            <w:r w:rsidRPr="0042374B">
              <w:rPr>
                <w:sz w:val="18"/>
                <w:szCs w:val="18"/>
                <w:lang w:val="en-US"/>
              </w:rPr>
              <w:t>3 342</w:t>
            </w:r>
          </w:p>
        </w:tc>
        <w:tc>
          <w:tcPr>
            <w:tcW w:w="751" w:type="dxa"/>
            <w:tcMar>
              <w:top w:w="15" w:type="dxa"/>
              <w:left w:w="15" w:type="dxa"/>
              <w:bottom w:w="0" w:type="dxa"/>
              <w:right w:w="15" w:type="dxa"/>
            </w:tcMar>
            <w:vAlign w:val="center"/>
          </w:tcPr>
          <w:p w:rsidR="00E924A2" w:rsidRPr="0042374B" w:rsidRDefault="00E924A2" w:rsidP="00300106">
            <w:pPr>
              <w:jc w:val="center"/>
              <w:rPr>
                <w:sz w:val="18"/>
                <w:szCs w:val="18"/>
                <w:lang w:val="en-US"/>
              </w:rPr>
            </w:pPr>
            <w:r w:rsidRPr="0042374B">
              <w:rPr>
                <w:sz w:val="18"/>
                <w:szCs w:val="18"/>
                <w:lang w:val="en-US"/>
              </w:rPr>
              <w:t>2 999</w:t>
            </w:r>
          </w:p>
        </w:tc>
        <w:tc>
          <w:tcPr>
            <w:tcW w:w="808" w:type="dxa"/>
            <w:tcMar>
              <w:top w:w="15" w:type="dxa"/>
              <w:left w:w="15" w:type="dxa"/>
              <w:bottom w:w="0" w:type="dxa"/>
              <w:right w:w="15" w:type="dxa"/>
            </w:tcMar>
            <w:vAlign w:val="center"/>
          </w:tcPr>
          <w:p w:rsidR="00E924A2" w:rsidRPr="0042374B" w:rsidRDefault="00E924A2" w:rsidP="00300106">
            <w:pPr>
              <w:jc w:val="center"/>
              <w:rPr>
                <w:sz w:val="18"/>
                <w:szCs w:val="18"/>
              </w:rPr>
            </w:pPr>
            <w:r w:rsidRPr="0042374B">
              <w:rPr>
                <w:sz w:val="18"/>
                <w:szCs w:val="18"/>
                <w:lang w:val="en-US"/>
              </w:rPr>
              <w:t>111</w:t>
            </w:r>
            <w:r w:rsidRPr="0042374B">
              <w:rPr>
                <w:sz w:val="18"/>
                <w:szCs w:val="18"/>
              </w:rPr>
              <w:t>,4</w:t>
            </w:r>
          </w:p>
        </w:tc>
        <w:tc>
          <w:tcPr>
            <w:tcW w:w="3544" w:type="dxa"/>
            <w:vAlign w:val="center"/>
          </w:tcPr>
          <w:p w:rsidR="00E924A2" w:rsidRPr="00E924A2" w:rsidRDefault="00E924A2" w:rsidP="00E924A2">
            <w:pPr>
              <w:rPr>
                <w:sz w:val="16"/>
                <w:szCs w:val="16"/>
                <w:lang w:val="en-US"/>
              </w:rPr>
            </w:pPr>
            <w:r w:rsidRPr="00E924A2">
              <w:rPr>
                <w:sz w:val="16"/>
                <w:szCs w:val="16"/>
                <w:lang w:val="en-US"/>
              </w:rPr>
              <w:t>Due to the expansi</w:t>
            </w:r>
            <w:r w:rsidR="005B3234">
              <w:rPr>
                <w:sz w:val="16"/>
                <w:szCs w:val="16"/>
                <w:lang w:val="en-US"/>
              </w:rPr>
              <w:t>on of operations, which include</w:t>
            </w:r>
            <w:r w:rsidRPr="00E924A2">
              <w:rPr>
                <w:sz w:val="16"/>
                <w:szCs w:val="16"/>
                <w:lang w:val="en-US"/>
              </w:rPr>
              <w:t xml:space="preserve"> the opening of new stations and the expansion of the fleet of </w:t>
            </w:r>
            <w:proofErr w:type="gramStart"/>
            <w:r w:rsidRPr="00E924A2">
              <w:rPr>
                <w:sz w:val="16"/>
                <w:szCs w:val="16"/>
                <w:lang w:val="en-US"/>
              </w:rPr>
              <w:t>aircraft.</w:t>
            </w:r>
            <w:proofErr w:type="gramEnd"/>
          </w:p>
        </w:tc>
      </w:tr>
    </w:tbl>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rPr>
      </w:pPr>
    </w:p>
    <w:p w:rsidR="00353DB4" w:rsidRPr="00353DB4" w:rsidRDefault="00353DB4" w:rsidP="002664E4">
      <w:pPr>
        <w:tabs>
          <w:tab w:val="left" w:pos="426"/>
        </w:tabs>
        <w:autoSpaceDE w:val="0"/>
        <w:autoSpaceDN w:val="0"/>
        <w:adjustRightInd w:val="0"/>
        <w:ind w:left="-709" w:firstLine="709"/>
        <w:jc w:val="both"/>
        <w:rPr>
          <w:rStyle w:val="apple-style-span"/>
          <w:sz w:val="22"/>
          <w:szCs w:val="22"/>
          <w:shd w:val="clear" w:color="auto" w:fill="FFFFFF"/>
        </w:rPr>
      </w:pPr>
    </w:p>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sidRPr="005716A9">
        <w:rPr>
          <w:rStyle w:val="apple-style-span"/>
          <w:sz w:val="22"/>
          <w:szCs w:val="22"/>
          <w:shd w:val="clear" w:color="auto" w:fill="FFFFFF"/>
          <w:lang w:val="en-US"/>
        </w:rPr>
        <w:t xml:space="preserve">Following are specific factors </w:t>
      </w:r>
      <w:r>
        <w:rPr>
          <w:rStyle w:val="apple-style-span"/>
          <w:sz w:val="22"/>
          <w:szCs w:val="22"/>
          <w:shd w:val="clear" w:color="auto" w:fill="FFFFFF"/>
          <w:lang w:val="en-US"/>
        </w:rPr>
        <w:t xml:space="preserve">of change </w:t>
      </w:r>
      <w:r w:rsidRPr="005716A9">
        <w:rPr>
          <w:rStyle w:val="apple-style-span"/>
          <w:sz w:val="22"/>
          <w:szCs w:val="22"/>
          <w:shd w:val="clear" w:color="auto" w:fill="FFFFFF"/>
          <w:lang w:val="en-US"/>
        </w:rPr>
        <w:t xml:space="preserve">in </w:t>
      </w:r>
      <w:r w:rsidRPr="005716A9">
        <w:rPr>
          <w:rStyle w:val="apple-style-span"/>
          <w:b/>
          <w:i/>
          <w:sz w:val="22"/>
          <w:szCs w:val="22"/>
          <w:shd w:val="clear" w:color="auto" w:fill="FFFFFF"/>
          <w:lang w:val="en-US"/>
        </w:rPr>
        <w:t>net profit</w:t>
      </w:r>
      <w:r w:rsidRPr="005716A9">
        <w:rPr>
          <w:rStyle w:val="apple-style-span"/>
          <w:sz w:val="22"/>
          <w:szCs w:val="22"/>
          <w:shd w:val="clear" w:color="auto" w:fill="FFFFFF"/>
          <w:lang w:val="en-US"/>
        </w:rPr>
        <w:t xml:space="preserve"> for the segment in </w:t>
      </w:r>
      <w:r w:rsidR="00430ED6">
        <w:rPr>
          <w:rStyle w:val="apple-style-span"/>
          <w:sz w:val="22"/>
          <w:szCs w:val="22"/>
          <w:shd w:val="clear" w:color="auto" w:fill="FFFFFF"/>
          <w:lang w:val="en-US"/>
        </w:rPr>
        <w:t>the reporting period</w:t>
      </w:r>
      <w:r w:rsidRPr="005716A9">
        <w:rPr>
          <w:rStyle w:val="apple-style-span"/>
          <w:sz w:val="22"/>
          <w:szCs w:val="22"/>
          <w:shd w:val="clear" w:color="auto" w:fill="FFFFFF"/>
          <w:lang w:val="en-US"/>
        </w:rPr>
        <w:t xml:space="preserve"> compared to </w:t>
      </w:r>
      <w:r w:rsidR="00430ED6">
        <w:rPr>
          <w:rStyle w:val="apple-style-span"/>
          <w:sz w:val="22"/>
          <w:szCs w:val="22"/>
          <w:shd w:val="clear" w:color="auto" w:fill="FFFFFF"/>
          <w:lang w:val="en-US"/>
        </w:rPr>
        <w:t>the same period of 2011</w:t>
      </w:r>
      <w:r w:rsidRPr="005716A9">
        <w:rPr>
          <w:rStyle w:val="apple-style-span"/>
          <w:sz w:val="22"/>
          <w:szCs w:val="22"/>
          <w:shd w:val="clear" w:color="auto" w:fill="FFFFFF"/>
          <w:lang w:val="en-US"/>
        </w:rPr>
        <w:t>.</w:t>
      </w:r>
    </w:p>
    <w:p w:rsidR="00584768" w:rsidRDefault="00584768" w:rsidP="002664E4">
      <w:pPr>
        <w:tabs>
          <w:tab w:val="left" w:pos="426"/>
        </w:tabs>
        <w:autoSpaceDE w:val="0"/>
        <w:autoSpaceDN w:val="0"/>
        <w:adjustRightInd w:val="0"/>
        <w:ind w:left="-709" w:firstLine="709"/>
        <w:jc w:val="both"/>
        <w:rPr>
          <w:rStyle w:val="apple-style-span"/>
          <w:sz w:val="22"/>
          <w:szCs w:val="22"/>
          <w:shd w:val="clear" w:color="auto" w:fill="FFFFFF"/>
          <w:lang w:val="en-US"/>
        </w:rPr>
      </w:pPr>
    </w:p>
    <w:p w:rsidR="002664E4" w:rsidRPr="005716A9" w:rsidRDefault="002664E4" w:rsidP="002664E4">
      <w:pPr>
        <w:tabs>
          <w:tab w:val="left" w:pos="426"/>
        </w:tabs>
        <w:autoSpaceDE w:val="0"/>
        <w:autoSpaceDN w:val="0"/>
        <w:adjustRightInd w:val="0"/>
        <w:ind w:left="-709" w:firstLine="709"/>
        <w:jc w:val="both"/>
        <w:rPr>
          <w:rStyle w:val="apple-style-span"/>
          <w:rFonts w:ascii="Arial" w:hAnsi="Arial" w:cs="Arial"/>
          <w:b/>
          <w:color w:val="FF0000"/>
          <w:sz w:val="20"/>
          <w:szCs w:val="20"/>
          <w:shd w:val="clear" w:color="auto" w:fill="FFFFFF"/>
          <w:lang w:val="en-US"/>
        </w:rPr>
      </w:pPr>
    </w:p>
    <w:tbl>
      <w:tblPr>
        <w:tblW w:w="907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276"/>
      </w:tblGrid>
      <w:tr w:rsidR="002664E4" w:rsidRPr="00B50C2F" w:rsidTr="00344B3E">
        <w:trPr>
          <w:trHeight w:val="420"/>
        </w:trPr>
        <w:tc>
          <w:tcPr>
            <w:tcW w:w="7796" w:type="dxa"/>
            <w:shd w:val="clear" w:color="auto" w:fill="auto"/>
            <w:noWrap/>
            <w:vAlign w:val="center"/>
            <w:hideMark/>
          </w:tcPr>
          <w:p w:rsidR="002664E4" w:rsidRPr="00AB01AB" w:rsidRDefault="002664E4" w:rsidP="00770BC8">
            <w:pPr>
              <w:jc w:val="center"/>
              <w:rPr>
                <w:b/>
                <w:bCs/>
                <w:color w:val="000000"/>
                <w:sz w:val="16"/>
                <w:szCs w:val="16"/>
                <w:lang w:val="en-US"/>
              </w:rPr>
            </w:pPr>
            <w:r w:rsidRPr="00AB01AB">
              <w:rPr>
                <w:b/>
                <w:bCs/>
                <w:color w:val="000000"/>
                <w:sz w:val="16"/>
                <w:szCs w:val="16"/>
                <w:lang w:val="en-US"/>
              </w:rPr>
              <w:lastRenderedPageBreak/>
              <w:t>Factors</w:t>
            </w:r>
          </w:p>
        </w:tc>
        <w:tc>
          <w:tcPr>
            <w:tcW w:w="1276" w:type="dxa"/>
            <w:vAlign w:val="center"/>
          </w:tcPr>
          <w:p w:rsidR="002664E4" w:rsidRPr="00AB01AB" w:rsidRDefault="002664E4" w:rsidP="00770BC8">
            <w:pPr>
              <w:jc w:val="center"/>
              <w:rPr>
                <w:b/>
                <w:bCs/>
                <w:color w:val="000000"/>
                <w:sz w:val="16"/>
                <w:szCs w:val="16"/>
                <w:lang w:val="en-US"/>
              </w:rPr>
            </w:pPr>
            <w:r w:rsidRPr="00AB01AB">
              <w:rPr>
                <w:b/>
                <w:bCs/>
                <w:color w:val="000000"/>
                <w:sz w:val="16"/>
                <w:szCs w:val="16"/>
                <w:lang w:val="en-US"/>
              </w:rPr>
              <w:t>Changes</w:t>
            </w:r>
            <w:r w:rsidRPr="00AB01AB">
              <w:rPr>
                <w:b/>
                <w:bCs/>
                <w:color w:val="000000"/>
                <w:sz w:val="16"/>
                <w:szCs w:val="16"/>
              </w:rPr>
              <w:t xml:space="preserve">, </w:t>
            </w:r>
            <w:r w:rsidR="000A43AE">
              <w:rPr>
                <w:b/>
                <w:bCs/>
                <w:color w:val="000000"/>
                <w:sz w:val="16"/>
                <w:szCs w:val="16"/>
                <w:lang w:val="en-US"/>
              </w:rPr>
              <w:t>billion</w:t>
            </w:r>
            <w:r w:rsidRPr="00AB01AB">
              <w:rPr>
                <w:b/>
                <w:bCs/>
                <w:color w:val="000000"/>
                <w:sz w:val="16"/>
                <w:szCs w:val="16"/>
                <w:lang w:val="en-US"/>
              </w:rPr>
              <w:t xml:space="preserve"> KZT</w:t>
            </w:r>
          </w:p>
        </w:tc>
      </w:tr>
      <w:tr w:rsidR="00D60B30" w:rsidRPr="0039540A" w:rsidTr="00344B3E">
        <w:trPr>
          <w:trHeight w:val="399"/>
        </w:trPr>
        <w:tc>
          <w:tcPr>
            <w:tcW w:w="7796" w:type="dxa"/>
            <w:shd w:val="clear" w:color="auto" w:fill="auto"/>
            <w:noWrap/>
            <w:vAlign w:val="center"/>
            <w:hideMark/>
          </w:tcPr>
          <w:p w:rsidR="00D60B30" w:rsidRPr="00AB01AB" w:rsidRDefault="00D60B30" w:rsidP="009D3F10">
            <w:pPr>
              <w:rPr>
                <w:color w:val="000000"/>
                <w:sz w:val="16"/>
                <w:szCs w:val="16"/>
                <w:lang w:val="en-US"/>
              </w:rPr>
            </w:pPr>
            <w:r w:rsidRPr="00AB01AB">
              <w:rPr>
                <w:b/>
                <w:color w:val="000000"/>
                <w:sz w:val="16"/>
                <w:szCs w:val="16"/>
                <w:lang w:val="en-US"/>
              </w:rPr>
              <w:t xml:space="preserve">Net income ( KZT </w:t>
            </w:r>
            <w:r w:rsidRPr="009D3F10">
              <w:rPr>
                <w:b/>
                <w:color w:val="000000"/>
                <w:sz w:val="16"/>
                <w:szCs w:val="16"/>
                <w:lang w:val="en-US"/>
              </w:rPr>
              <w:t>62</w:t>
            </w:r>
            <w:r w:rsidRPr="00AB01AB">
              <w:rPr>
                <w:b/>
                <w:color w:val="000000"/>
                <w:sz w:val="16"/>
                <w:szCs w:val="16"/>
                <w:lang w:val="en-US"/>
              </w:rPr>
              <w:t xml:space="preserve"> </w:t>
            </w:r>
            <w:r>
              <w:rPr>
                <w:b/>
                <w:color w:val="000000"/>
                <w:sz w:val="16"/>
                <w:szCs w:val="16"/>
                <w:lang w:val="en-US"/>
              </w:rPr>
              <w:t>billion</w:t>
            </w:r>
            <w:r w:rsidRPr="00AB01AB">
              <w:rPr>
                <w:b/>
                <w:color w:val="000000"/>
                <w:sz w:val="16"/>
                <w:szCs w:val="16"/>
                <w:lang w:val="en-US"/>
              </w:rPr>
              <w:t xml:space="preserve"> for </w:t>
            </w:r>
            <w:r>
              <w:rPr>
                <w:b/>
                <w:color w:val="000000"/>
                <w:sz w:val="16"/>
                <w:szCs w:val="16"/>
                <w:lang w:val="en-US"/>
              </w:rPr>
              <w:t>the period; KZT 68 billion</w:t>
            </w:r>
            <w:r w:rsidRPr="00AB01AB">
              <w:rPr>
                <w:b/>
                <w:color w:val="000000"/>
                <w:sz w:val="16"/>
                <w:szCs w:val="16"/>
                <w:lang w:val="en-US"/>
              </w:rPr>
              <w:t xml:space="preserve"> for </w:t>
            </w:r>
            <w:r>
              <w:rPr>
                <w:b/>
                <w:color w:val="000000"/>
                <w:sz w:val="16"/>
                <w:szCs w:val="16"/>
                <w:lang w:val="en-US"/>
              </w:rPr>
              <w:t>the same period of 2011</w:t>
            </w:r>
            <w:r w:rsidRPr="00AB01AB">
              <w:rPr>
                <w:b/>
                <w:color w:val="000000"/>
                <w:sz w:val="16"/>
                <w:szCs w:val="16"/>
                <w:lang w:val="en-US"/>
              </w:rPr>
              <w:t>)</w:t>
            </w:r>
          </w:p>
        </w:tc>
        <w:tc>
          <w:tcPr>
            <w:tcW w:w="1276" w:type="dxa"/>
            <w:vAlign w:val="center"/>
          </w:tcPr>
          <w:p w:rsidR="00D60B30" w:rsidRPr="000E135D" w:rsidRDefault="00D60B30" w:rsidP="00300106">
            <w:pPr>
              <w:jc w:val="center"/>
              <w:rPr>
                <w:b/>
                <w:bCs/>
                <w:sz w:val="18"/>
                <w:szCs w:val="18"/>
              </w:rPr>
            </w:pPr>
            <w:r>
              <w:rPr>
                <w:b/>
                <w:bCs/>
                <w:sz w:val="18"/>
                <w:szCs w:val="18"/>
              </w:rPr>
              <w:t>-6</w:t>
            </w:r>
          </w:p>
        </w:tc>
      </w:tr>
      <w:tr w:rsidR="00D60B30" w:rsidRPr="00B50C2F" w:rsidTr="00344B3E">
        <w:trPr>
          <w:trHeight w:val="251"/>
        </w:trPr>
        <w:tc>
          <w:tcPr>
            <w:tcW w:w="7796" w:type="dxa"/>
            <w:shd w:val="clear" w:color="auto" w:fill="auto"/>
            <w:vAlign w:val="center"/>
          </w:tcPr>
          <w:p w:rsidR="00D60B30" w:rsidRPr="009D3F10" w:rsidRDefault="00D60B30" w:rsidP="00770BC8">
            <w:pPr>
              <w:rPr>
                <w:b/>
                <w:color w:val="000000"/>
                <w:sz w:val="16"/>
                <w:szCs w:val="16"/>
                <w:lang w:val="en-US"/>
              </w:rPr>
            </w:pPr>
            <w:r w:rsidRPr="009D3F10">
              <w:rPr>
                <w:b/>
                <w:color w:val="000000"/>
                <w:sz w:val="16"/>
                <w:szCs w:val="16"/>
                <w:lang w:val="en-US"/>
              </w:rPr>
              <w:t>Growth in the services provided for freight and passenger transport, including on Air Astana</w:t>
            </w:r>
          </w:p>
        </w:tc>
        <w:tc>
          <w:tcPr>
            <w:tcW w:w="1276" w:type="dxa"/>
            <w:vAlign w:val="center"/>
          </w:tcPr>
          <w:p w:rsidR="00D60B30" w:rsidRPr="005B78E5" w:rsidRDefault="00D60B30" w:rsidP="00300106">
            <w:pPr>
              <w:jc w:val="center"/>
              <w:rPr>
                <w:sz w:val="18"/>
                <w:szCs w:val="18"/>
              </w:rPr>
            </w:pPr>
            <w:r w:rsidRPr="005B78E5">
              <w:rPr>
                <w:sz w:val="18"/>
                <w:szCs w:val="18"/>
              </w:rPr>
              <w:t>27</w:t>
            </w:r>
          </w:p>
        </w:tc>
      </w:tr>
      <w:tr w:rsidR="00D60B30" w:rsidRPr="00B50C2F" w:rsidTr="00344B3E">
        <w:trPr>
          <w:trHeight w:val="349"/>
        </w:trPr>
        <w:tc>
          <w:tcPr>
            <w:tcW w:w="7796" w:type="dxa"/>
            <w:shd w:val="clear" w:color="auto" w:fill="auto"/>
            <w:vAlign w:val="center"/>
            <w:hideMark/>
          </w:tcPr>
          <w:p w:rsidR="00D60B30" w:rsidRPr="00AB01AB" w:rsidRDefault="00D60B30" w:rsidP="009D3F10">
            <w:pPr>
              <w:rPr>
                <w:color w:val="000000"/>
                <w:sz w:val="16"/>
                <w:szCs w:val="16"/>
                <w:lang w:val="en-US"/>
              </w:rPr>
            </w:pPr>
            <w:r w:rsidRPr="00AB01AB">
              <w:rPr>
                <w:b/>
                <w:color w:val="000000"/>
                <w:sz w:val="16"/>
                <w:szCs w:val="16"/>
                <w:lang w:val="en-US"/>
              </w:rPr>
              <w:t xml:space="preserve">Increase in freight tariffs </w:t>
            </w:r>
            <w:r w:rsidRPr="00AB01AB">
              <w:rPr>
                <w:color w:val="000000"/>
                <w:sz w:val="16"/>
                <w:szCs w:val="16"/>
                <w:lang w:val="en-US"/>
              </w:rPr>
              <w:t xml:space="preserve">since </w:t>
            </w:r>
            <w:r>
              <w:rPr>
                <w:color w:val="000000"/>
                <w:sz w:val="16"/>
                <w:szCs w:val="16"/>
                <w:lang w:val="en-US"/>
              </w:rPr>
              <w:t>April 1, 2012</w:t>
            </w:r>
            <w:r w:rsidRPr="00AB01AB">
              <w:rPr>
                <w:color w:val="000000"/>
                <w:sz w:val="16"/>
                <w:szCs w:val="16"/>
                <w:lang w:val="en-US"/>
              </w:rPr>
              <w:t xml:space="preserve"> by 14.</w:t>
            </w:r>
            <w:r>
              <w:rPr>
                <w:color w:val="000000"/>
                <w:sz w:val="16"/>
                <w:szCs w:val="16"/>
                <w:lang w:val="en-US"/>
              </w:rPr>
              <w:t>9</w:t>
            </w:r>
            <w:r w:rsidRPr="00AB01AB">
              <w:rPr>
                <w:color w:val="000000"/>
                <w:sz w:val="16"/>
                <w:szCs w:val="16"/>
                <w:lang w:val="en-US"/>
              </w:rPr>
              <w:t>% in average.</w:t>
            </w:r>
          </w:p>
        </w:tc>
        <w:tc>
          <w:tcPr>
            <w:tcW w:w="1276" w:type="dxa"/>
            <w:vAlign w:val="center"/>
          </w:tcPr>
          <w:p w:rsidR="00D60B30" w:rsidRPr="005B78E5" w:rsidRDefault="00D60B30" w:rsidP="00300106">
            <w:pPr>
              <w:jc w:val="center"/>
              <w:rPr>
                <w:color w:val="000000"/>
                <w:sz w:val="18"/>
                <w:szCs w:val="18"/>
              </w:rPr>
            </w:pPr>
            <w:r w:rsidRPr="005B78E5">
              <w:rPr>
                <w:color w:val="000000"/>
                <w:sz w:val="18"/>
                <w:szCs w:val="18"/>
              </w:rPr>
              <w:t>23</w:t>
            </w:r>
          </w:p>
        </w:tc>
      </w:tr>
      <w:tr w:rsidR="00D60B30" w:rsidRPr="00B50C2F" w:rsidTr="00344B3E">
        <w:trPr>
          <w:trHeight w:val="251"/>
        </w:trPr>
        <w:tc>
          <w:tcPr>
            <w:tcW w:w="7796" w:type="dxa"/>
            <w:shd w:val="clear" w:color="auto" w:fill="auto"/>
            <w:hideMark/>
          </w:tcPr>
          <w:p w:rsidR="00D60B30" w:rsidRPr="009D3F10" w:rsidRDefault="00D60B30" w:rsidP="00300106">
            <w:pPr>
              <w:rPr>
                <w:b/>
                <w:color w:val="000000"/>
                <w:sz w:val="16"/>
                <w:szCs w:val="16"/>
                <w:lang w:val="en-US"/>
              </w:rPr>
            </w:pPr>
            <w:r w:rsidRPr="009D3F10">
              <w:rPr>
                <w:b/>
                <w:color w:val="000000"/>
                <w:sz w:val="16"/>
                <w:szCs w:val="16"/>
                <w:lang w:val="en-US"/>
              </w:rPr>
              <w:t>Growth of fuel surcharge</w:t>
            </w:r>
          </w:p>
        </w:tc>
        <w:tc>
          <w:tcPr>
            <w:tcW w:w="1276" w:type="dxa"/>
            <w:vAlign w:val="center"/>
          </w:tcPr>
          <w:p w:rsidR="00D60B30" w:rsidRPr="005B78E5" w:rsidRDefault="00D60B30" w:rsidP="00300106">
            <w:pPr>
              <w:jc w:val="center"/>
              <w:rPr>
                <w:color w:val="000000"/>
                <w:sz w:val="18"/>
                <w:szCs w:val="18"/>
              </w:rPr>
            </w:pPr>
            <w:r>
              <w:rPr>
                <w:color w:val="000000"/>
                <w:sz w:val="18"/>
                <w:szCs w:val="18"/>
              </w:rPr>
              <w:t>3</w:t>
            </w:r>
          </w:p>
        </w:tc>
      </w:tr>
      <w:tr w:rsidR="00D60B30" w:rsidRPr="00B50C2F" w:rsidTr="00344B3E">
        <w:trPr>
          <w:trHeight w:val="379"/>
        </w:trPr>
        <w:tc>
          <w:tcPr>
            <w:tcW w:w="7796" w:type="dxa"/>
            <w:shd w:val="clear" w:color="auto" w:fill="auto"/>
            <w:hideMark/>
          </w:tcPr>
          <w:p w:rsidR="00D60B30" w:rsidRPr="009D3F10" w:rsidRDefault="00D60B30" w:rsidP="00300106">
            <w:pPr>
              <w:rPr>
                <w:b/>
                <w:color w:val="000000"/>
                <w:sz w:val="16"/>
                <w:szCs w:val="16"/>
                <w:lang w:val="en-US"/>
              </w:rPr>
            </w:pPr>
            <w:r w:rsidRPr="009D3F10">
              <w:rPr>
                <w:b/>
                <w:color w:val="000000"/>
                <w:sz w:val="16"/>
                <w:szCs w:val="16"/>
                <w:lang w:val="en-US"/>
              </w:rPr>
              <w:t>Commissioning of the new railway stations and the purchase of new fixed assets (including the calculation of depreciation and amortization)</w:t>
            </w:r>
          </w:p>
        </w:tc>
        <w:tc>
          <w:tcPr>
            <w:tcW w:w="1276" w:type="dxa"/>
            <w:vAlign w:val="center"/>
          </w:tcPr>
          <w:p w:rsidR="00D60B30" w:rsidRPr="005B78E5" w:rsidRDefault="00D60B30" w:rsidP="00300106">
            <w:pPr>
              <w:jc w:val="center"/>
              <w:rPr>
                <w:color w:val="000000"/>
                <w:sz w:val="18"/>
                <w:szCs w:val="18"/>
              </w:rPr>
            </w:pPr>
            <w:r w:rsidRPr="005B78E5">
              <w:rPr>
                <w:color w:val="000000"/>
                <w:sz w:val="18"/>
                <w:szCs w:val="18"/>
              </w:rPr>
              <w:t>-19</w:t>
            </w:r>
          </w:p>
        </w:tc>
      </w:tr>
      <w:tr w:rsidR="00D60B30" w:rsidRPr="00B50C2F" w:rsidTr="00344B3E">
        <w:trPr>
          <w:trHeight w:val="422"/>
        </w:trPr>
        <w:tc>
          <w:tcPr>
            <w:tcW w:w="7796" w:type="dxa"/>
            <w:shd w:val="clear" w:color="auto" w:fill="auto"/>
            <w:hideMark/>
          </w:tcPr>
          <w:p w:rsidR="00D60B30" w:rsidRPr="009D3F10" w:rsidRDefault="00D60B30" w:rsidP="00300106">
            <w:pPr>
              <w:rPr>
                <w:b/>
                <w:color w:val="000000"/>
                <w:sz w:val="16"/>
                <w:szCs w:val="16"/>
                <w:lang w:val="en-US"/>
              </w:rPr>
            </w:pPr>
            <w:r w:rsidRPr="009D3F10">
              <w:rPr>
                <w:b/>
                <w:color w:val="000000"/>
                <w:sz w:val="16"/>
                <w:szCs w:val="16"/>
                <w:lang w:val="en-US"/>
              </w:rPr>
              <w:t xml:space="preserve">Wage increase, mainly </w:t>
            </w:r>
            <w:r>
              <w:rPr>
                <w:b/>
                <w:color w:val="000000"/>
                <w:sz w:val="16"/>
                <w:szCs w:val="16"/>
                <w:lang w:val="en-US"/>
              </w:rPr>
              <w:t xml:space="preserve">of </w:t>
            </w:r>
            <w:r w:rsidRPr="009D3F10">
              <w:rPr>
                <w:b/>
                <w:color w:val="000000"/>
                <w:sz w:val="16"/>
                <w:szCs w:val="16"/>
                <w:lang w:val="en-US"/>
              </w:rPr>
              <w:t>production staff, under the collective agreement, increasing co-payments for accommodation in areas of Aral Sea ecological disaster</w:t>
            </w:r>
          </w:p>
        </w:tc>
        <w:tc>
          <w:tcPr>
            <w:tcW w:w="1276" w:type="dxa"/>
            <w:vAlign w:val="center"/>
          </w:tcPr>
          <w:p w:rsidR="00D60B30" w:rsidRPr="005B78E5" w:rsidRDefault="00D60B30" w:rsidP="00300106">
            <w:pPr>
              <w:jc w:val="center"/>
              <w:rPr>
                <w:color w:val="000000"/>
                <w:sz w:val="18"/>
                <w:szCs w:val="18"/>
              </w:rPr>
            </w:pPr>
            <w:r w:rsidRPr="005B78E5">
              <w:rPr>
                <w:color w:val="000000"/>
                <w:sz w:val="18"/>
                <w:szCs w:val="18"/>
              </w:rPr>
              <w:t>-18</w:t>
            </w:r>
          </w:p>
        </w:tc>
      </w:tr>
      <w:tr w:rsidR="00D60B30" w:rsidRPr="00B50C2F" w:rsidTr="00344B3E">
        <w:trPr>
          <w:trHeight w:val="249"/>
        </w:trPr>
        <w:tc>
          <w:tcPr>
            <w:tcW w:w="7796" w:type="dxa"/>
            <w:shd w:val="clear" w:color="auto" w:fill="auto"/>
            <w:hideMark/>
          </w:tcPr>
          <w:p w:rsidR="00D60B30" w:rsidRPr="009D3F10" w:rsidRDefault="00D60B30" w:rsidP="00300106">
            <w:pPr>
              <w:rPr>
                <w:color w:val="000000"/>
                <w:sz w:val="16"/>
                <w:szCs w:val="16"/>
                <w:lang w:val="en-US"/>
              </w:rPr>
            </w:pPr>
            <w:r w:rsidRPr="00AB01AB">
              <w:rPr>
                <w:b/>
                <w:color w:val="000000"/>
                <w:sz w:val="16"/>
                <w:szCs w:val="16"/>
                <w:lang w:val="en-US"/>
              </w:rPr>
              <w:t xml:space="preserve">Reversal of impairment of assets: </w:t>
            </w:r>
            <w:r w:rsidRPr="00AB01AB">
              <w:rPr>
                <w:color w:val="000000"/>
                <w:sz w:val="16"/>
                <w:szCs w:val="16"/>
                <w:lang w:val="en-US"/>
              </w:rPr>
              <w:t xml:space="preserve">the increase was due to the restored reserve on a non-refundable VAT in the amount of KZT 8.3 </w:t>
            </w:r>
            <w:r>
              <w:rPr>
                <w:color w:val="000000"/>
                <w:sz w:val="16"/>
                <w:szCs w:val="16"/>
                <w:lang w:val="en-US"/>
              </w:rPr>
              <w:t>billion</w:t>
            </w:r>
            <w:r w:rsidRPr="00AB01AB">
              <w:rPr>
                <w:color w:val="000000"/>
                <w:sz w:val="16"/>
                <w:szCs w:val="16"/>
                <w:lang w:val="en-US"/>
              </w:rPr>
              <w:t xml:space="preserve"> due to changes in the methodology of calculation of VAT refund under the tax legislation of RK</w:t>
            </w:r>
          </w:p>
        </w:tc>
        <w:tc>
          <w:tcPr>
            <w:tcW w:w="1276" w:type="dxa"/>
            <w:vAlign w:val="center"/>
          </w:tcPr>
          <w:p w:rsidR="00D60B30" w:rsidRPr="005B78E5" w:rsidRDefault="00D60B30" w:rsidP="00300106">
            <w:pPr>
              <w:jc w:val="center"/>
              <w:rPr>
                <w:color w:val="000000"/>
                <w:sz w:val="18"/>
                <w:szCs w:val="18"/>
              </w:rPr>
            </w:pPr>
            <w:r w:rsidRPr="005B78E5">
              <w:rPr>
                <w:color w:val="000000"/>
                <w:sz w:val="18"/>
                <w:szCs w:val="18"/>
              </w:rPr>
              <w:t>-10</w:t>
            </w:r>
          </w:p>
        </w:tc>
      </w:tr>
      <w:tr w:rsidR="00D60B30" w:rsidRPr="009D3F10" w:rsidTr="00344B3E">
        <w:trPr>
          <w:trHeight w:val="249"/>
        </w:trPr>
        <w:tc>
          <w:tcPr>
            <w:tcW w:w="7796" w:type="dxa"/>
            <w:shd w:val="clear" w:color="auto" w:fill="auto"/>
          </w:tcPr>
          <w:p w:rsidR="00D60B30" w:rsidRPr="009D3F10" w:rsidRDefault="00D60B30" w:rsidP="009D3F10">
            <w:pPr>
              <w:rPr>
                <w:b/>
                <w:color w:val="000000"/>
                <w:sz w:val="16"/>
                <w:szCs w:val="16"/>
                <w:lang w:val="en-US"/>
              </w:rPr>
            </w:pPr>
            <w:r w:rsidRPr="009D3F10">
              <w:rPr>
                <w:b/>
                <w:color w:val="000000"/>
                <w:sz w:val="16"/>
                <w:szCs w:val="16"/>
                <w:lang w:val="en-US"/>
              </w:rPr>
              <w:t xml:space="preserve">Growth </w:t>
            </w:r>
            <w:r>
              <w:rPr>
                <w:b/>
                <w:color w:val="000000"/>
                <w:sz w:val="16"/>
                <w:szCs w:val="16"/>
                <w:lang w:val="en-US"/>
              </w:rPr>
              <w:t>of</w:t>
            </w:r>
            <w:r w:rsidRPr="009D3F10">
              <w:rPr>
                <w:b/>
                <w:color w:val="000000"/>
                <w:sz w:val="16"/>
                <w:szCs w:val="16"/>
                <w:lang w:val="en-US"/>
              </w:rPr>
              <w:t xml:space="preserve"> mainly the price of jet fuel and lease payments under operating aircraft lease </w:t>
            </w:r>
          </w:p>
        </w:tc>
        <w:tc>
          <w:tcPr>
            <w:tcW w:w="1276" w:type="dxa"/>
            <w:vAlign w:val="center"/>
          </w:tcPr>
          <w:p w:rsidR="00D60B30" w:rsidRPr="005B78E5" w:rsidRDefault="00D60B30" w:rsidP="00300106">
            <w:pPr>
              <w:jc w:val="center"/>
              <w:rPr>
                <w:sz w:val="18"/>
                <w:szCs w:val="18"/>
              </w:rPr>
            </w:pPr>
            <w:r w:rsidRPr="005B78E5">
              <w:rPr>
                <w:sz w:val="18"/>
                <w:szCs w:val="18"/>
              </w:rPr>
              <w:t>-8</w:t>
            </w:r>
          </w:p>
        </w:tc>
      </w:tr>
      <w:tr w:rsidR="00D60B30" w:rsidRPr="00B50C2F" w:rsidTr="00344B3E">
        <w:trPr>
          <w:trHeight w:val="249"/>
        </w:trPr>
        <w:tc>
          <w:tcPr>
            <w:tcW w:w="7796" w:type="dxa"/>
            <w:shd w:val="clear" w:color="auto" w:fill="auto"/>
          </w:tcPr>
          <w:p w:rsidR="00D60B30" w:rsidRPr="00AB01AB" w:rsidRDefault="00D60B30" w:rsidP="00770BC8">
            <w:pPr>
              <w:rPr>
                <w:color w:val="000000"/>
                <w:sz w:val="16"/>
                <w:szCs w:val="16"/>
              </w:rPr>
            </w:pPr>
            <w:r w:rsidRPr="00AB01AB">
              <w:rPr>
                <w:b/>
                <w:color w:val="000000"/>
                <w:sz w:val="16"/>
                <w:szCs w:val="16"/>
                <w:lang w:val="en-US"/>
              </w:rPr>
              <w:t>Others</w:t>
            </w:r>
          </w:p>
        </w:tc>
        <w:tc>
          <w:tcPr>
            <w:tcW w:w="1276" w:type="dxa"/>
            <w:vAlign w:val="center"/>
          </w:tcPr>
          <w:p w:rsidR="00D60B30" w:rsidRPr="00817B60" w:rsidRDefault="00D60B30" w:rsidP="00300106">
            <w:pPr>
              <w:jc w:val="center"/>
              <w:rPr>
                <w:color w:val="000000"/>
                <w:sz w:val="18"/>
                <w:szCs w:val="18"/>
              </w:rPr>
            </w:pPr>
            <w:r>
              <w:rPr>
                <w:color w:val="000000"/>
                <w:sz w:val="18"/>
                <w:szCs w:val="18"/>
              </w:rPr>
              <w:t>-4</w:t>
            </w:r>
          </w:p>
        </w:tc>
      </w:tr>
    </w:tbl>
    <w:p w:rsidR="00344B3E" w:rsidRDefault="00344B3E" w:rsidP="00700F2E">
      <w:pPr>
        <w:tabs>
          <w:tab w:val="left" w:pos="426"/>
        </w:tabs>
        <w:autoSpaceDE w:val="0"/>
        <w:autoSpaceDN w:val="0"/>
        <w:adjustRightInd w:val="0"/>
        <w:ind w:left="-709" w:firstLine="709"/>
        <w:jc w:val="both"/>
        <w:rPr>
          <w:sz w:val="22"/>
          <w:szCs w:val="22"/>
        </w:rPr>
      </w:pPr>
    </w:p>
    <w:p w:rsidR="00700F2E" w:rsidRPr="00700F2E" w:rsidRDefault="00700F2E" w:rsidP="00700F2E">
      <w:pPr>
        <w:tabs>
          <w:tab w:val="left" w:pos="426"/>
        </w:tabs>
        <w:autoSpaceDE w:val="0"/>
        <w:autoSpaceDN w:val="0"/>
        <w:adjustRightInd w:val="0"/>
        <w:ind w:left="-709" w:firstLine="709"/>
        <w:jc w:val="both"/>
        <w:rPr>
          <w:sz w:val="22"/>
          <w:szCs w:val="22"/>
          <w:lang w:val="en-US"/>
        </w:rPr>
      </w:pPr>
      <w:r w:rsidRPr="00700F2E">
        <w:rPr>
          <w:sz w:val="22"/>
          <w:szCs w:val="22"/>
          <w:lang w:val="en-US"/>
        </w:rPr>
        <w:t xml:space="preserve">On April 1, 2012 tariffs for the transportation of goods by rail </w:t>
      </w:r>
      <w:r>
        <w:rPr>
          <w:sz w:val="22"/>
          <w:szCs w:val="22"/>
          <w:lang w:val="en-US"/>
        </w:rPr>
        <w:t>were</w:t>
      </w:r>
      <w:r w:rsidRPr="00700F2E">
        <w:rPr>
          <w:sz w:val="22"/>
          <w:szCs w:val="22"/>
          <w:lang w:val="en-US"/>
        </w:rPr>
        <w:t xml:space="preserve"> increased by 14.9% </w:t>
      </w:r>
      <w:r>
        <w:rPr>
          <w:sz w:val="22"/>
          <w:szCs w:val="22"/>
          <w:lang w:val="en-US"/>
        </w:rPr>
        <w:t xml:space="preserve">on average, </w:t>
      </w:r>
      <w:r w:rsidRPr="00700F2E">
        <w:rPr>
          <w:sz w:val="22"/>
          <w:szCs w:val="22"/>
          <w:lang w:val="en-US"/>
        </w:rPr>
        <w:t xml:space="preserve">depending on the type of goods and types of </w:t>
      </w:r>
      <w:r>
        <w:rPr>
          <w:sz w:val="22"/>
          <w:szCs w:val="22"/>
          <w:lang w:val="en-US"/>
        </w:rPr>
        <w:t>routes</w:t>
      </w:r>
      <w:r w:rsidRPr="00700F2E">
        <w:rPr>
          <w:sz w:val="22"/>
          <w:szCs w:val="22"/>
          <w:lang w:val="en-US"/>
        </w:rPr>
        <w:t>.</w:t>
      </w:r>
    </w:p>
    <w:p w:rsidR="00700F2E" w:rsidRPr="00700F2E" w:rsidRDefault="00700F2E" w:rsidP="00700F2E">
      <w:pPr>
        <w:tabs>
          <w:tab w:val="left" w:pos="426"/>
        </w:tabs>
        <w:autoSpaceDE w:val="0"/>
        <w:autoSpaceDN w:val="0"/>
        <w:adjustRightInd w:val="0"/>
        <w:ind w:left="-709" w:firstLine="709"/>
        <w:jc w:val="both"/>
        <w:rPr>
          <w:sz w:val="22"/>
          <w:szCs w:val="22"/>
          <w:lang w:val="en-US"/>
        </w:rPr>
      </w:pPr>
      <w:r>
        <w:rPr>
          <w:sz w:val="22"/>
          <w:szCs w:val="22"/>
          <w:lang w:val="en-US"/>
        </w:rPr>
        <w:t>The</w:t>
      </w:r>
      <w:r w:rsidRPr="00700F2E">
        <w:rPr>
          <w:sz w:val="22"/>
          <w:szCs w:val="22"/>
          <w:lang w:val="en-US"/>
        </w:rPr>
        <w:t xml:space="preserve"> financial performance </w:t>
      </w:r>
      <w:r>
        <w:rPr>
          <w:sz w:val="22"/>
          <w:szCs w:val="22"/>
          <w:lang w:val="en-US"/>
        </w:rPr>
        <w:t xml:space="preserve">indicators </w:t>
      </w:r>
      <w:r w:rsidRPr="00700F2E">
        <w:rPr>
          <w:sz w:val="22"/>
          <w:szCs w:val="22"/>
          <w:lang w:val="en-US"/>
        </w:rPr>
        <w:t xml:space="preserve">of </w:t>
      </w:r>
      <w:proofErr w:type="spellStart"/>
      <w:r w:rsidRPr="00700F2E">
        <w:rPr>
          <w:sz w:val="22"/>
          <w:szCs w:val="22"/>
          <w:lang w:val="en-US"/>
        </w:rPr>
        <w:t>KTZ</w:t>
      </w:r>
      <w:r>
        <w:rPr>
          <w:sz w:val="22"/>
          <w:szCs w:val="22"/>
          <w:lang w:val="en-US"/>
        </w:rPr>
        <w:t>h</w:t>
      </w:r>
      <w:proofErr w:type="spellEnd"/>
      <w:r>
        <w:rPr>
          <w:sz w:val="22"/>
          <w:szCs w:val="22"/>
          <w:lang w:val="en-US"/>
        </w:rPr>
        <w:t xml:space="preserve"> were</w:t>
      </w:r>
      <w:r w:rsidRPr="00700F2E">
        <w:rPr>
          <w:sz w:val="22"/>
          <w:szCs w:val="22"/>
          <w:lang w:val="en-US"/>
        </w:rPr>
        <w:t xml:space="preserve"> positively influence</w:t>
      </w:r>
      <w:r>
        <w:rPr>
          <w:sz w:val="22"/>
          <w:szCs w:val="22"/>
          <w:lang w:val="en-US"/>
        </w:rPr>
        <w:t>d by</w:t>
      </w:r>
      <w:r w:rsidRPr="00700F2E">
        <w:rPr>
          <w:sz w:val="22"/>
          <w:szCs w:val="22"/>
          <w:lang w:val="en-US"/>
        </w:rPr>
        <w:t xml:space="preserve"> growth, mainly</w:t>
      </w:r>
      <w:r>
        <w:rPr>
          <w:sz w:val="22"/>
          <w:szCs w:val="22"/>
          <w:lang w:val="en-US"/>
        </w:rPr>
        <w:t>,</w:t>
      </w:r>
      <w:r w:rsidRPr="00700F2E">
        <w:rPr>
          <w:sz w:val="22"/>
          <w:szCs w:val="22"/>
          <w:lang w:val="en-US"/>
        </w:rPr>
        <w:t xml:space="preserve"> </w:t>
      </w:r>
      <w:r>
        <w:rPr>
          <w:sz w:val="22"/>
          <w:szCs w:val="22"/>
          <w:lang w:val="en-US"/>
        </w:rPr>
        <w:t>of</w:t>
      </w:r>
      <w:r w:rsidRPr="00700F2E">
        <w:rPr>
          <w:sz w:val="22"/>
          <w:szCs w:val="22"/>
          <w:lang w:val="en-US"/>
        </w:rPr>
        <w:t xml:space="preserve"> transportation of grain, ferrous ore, </w:t>
      </w:r>
      <w:r>
        <w:rPr>
          <w:sz w:val="22"/>
          <w:szCs w:val="22"/>
          <w:lang w:val="en-US"/>
        </w:rPr>
        <w:t>construction</w:t>
      </w:r>
      <w:r w:rsidRPr="00700F2E">
        <w:rPr>
          <w:sz w:val="22"/>
          <w:szCs w:val="22"/>
          <w:lang w:val="en-US"/>
        </w:rPr>
        <w:t xml:space="preserve"> materials, petroleum products, ferrous metals, as well as the </w:t>
      </w:r>
      <w:r>
        <w:rPr>
          <w:sz w:val="22"/>
          <w:szCs w:val="22"/>
          <w:lang w:val="en-US"/>
        </w:rPr>
        <w:t xml:space="preserve">operations of the group </w:t>
      </w:r>
      <w:r w:rsidRPr="00700F2E">
        <w:rPr>
          <w:sz w:val="22"/>
          <w:szCs w:val="22"/>
          <w:lang w:val="en-US"/>
        </w:rPr>
        <w:t>of compan</w:t>
      </w:r>
      <w:r>
        <w:rPr>
          <w:sz w:val="22"/>
          <w:szCs w:val="22"/>
          <w:lang w:val="en-US"/>
        </w:rPr>
        <w:t>ies</w:t>
      </w:r>
      <w:r w:rsidRPr="00700F2E">
        <w:rPr>
          <w:sz w:val="22"/>
          <w:szCs w:val="22"/>
          <w:lang w:val="en-US"/>
        </w:rPr>
        <w:t xml:space="preserve"> of the Fund, in particular: </w:t>
      </w:r>
      <w:r>
        <w:rPr>
          <w:sz w:val="22"/>
          <w:szCs w:val="22"/>
          <w:lang w:val="en-US"/>
        </w:rPr>
        <w:t>implementation of the project “</w:t>
      </w:r>
      <w:proofErr w:type="spellStart"/>
      <w:r>
        <w:rPr>
          <w:sz w:val="22"/>
          <w:szCs w:val="22"/>
          <w:lang w:val="en-US"/>
        </w:rPr>
        <w:t>Beineu-Bozoi-Shymkent</w:t>
      </w:r>
      <w:proofErr w:type="spellEnd"/>
      <w:r>
        <w:rPr>
          <w:sz w:val="22"/>
          <w:szCs w:val="22"/>
          <w:lang w:val="en-US"/>
        </w:rPr>
        <w:t>” gas pipeline</w:t>
      </w:r>
      <w:r w:rsidRPr="00700F2E">
        <w:rPr>
          <w:sz w:val="22"/>
          <w:szCs w:val="22"/>
          <w:lang w:val="en-US"/>
        </w:rPr>
        <w:t xml:space="preserve">, growth in sales volumes </w:t>
      </w:r>
      <w:r>
        <w:rPr>
          <w:sz w:val="22"/>
          <w:szCs w:val="22"/>
          <w:lang w:val="en-US"/>
        </w:rPr>
        <w:t xml:space="preserve">of petroleum products </w:t>
      </w:r>
      <w:r w:rsidRPr="00700F2E">
        <w:rPr>
          <w:sz w:val="22"/>
          <w:szCs w:val="22"/>
          <w:lang w:val="en-US"/>
        </w:rPr>
        <w:t>in the domestic market and the production of coal.</w:t>
      </w:r>
    </w:p>
    <w:p w:rsidR="00700F2E" w:rsidRPr="00700F2E" w:rsidRDefault="00700F2E" w:rsidP="00700F2E">
      <w:pPr>
        <w:tabs>
          <w:tab w:val="left" w:pos="426"/>
        </w:tabs>
        <w:autoSpaceDE w:val="0"/>
        <w:autoSpaceDN w:val="0"/>
        <w:adjustRightInd w:val="0"/>
        <w:ind w:left="-709" w:firstLine="709"/>
        <w:jc w:val="both"/>
        <w:rPr>
          <w:sz w:val="22"/>
          <w:szCs w:val="22"/>
          <w:lang w:val="en-US"/>
        </w:rPr>
      </w:pPr>
      <w:r w:rsidRPr="00700F2E">
        <w:rPr>
          <w:sz w:val="22"/>
          <w:szCs w:val="22"/>
          <w:lang w:val="en-US"/>
        </w:rPr>
        <w:t>Passenger and freight traffic on domestic routes, Europe and Asia had a positive impact on the change in net income in the year compared with the same period of 2011.</w:t>
      </w:r>
    </w:p>
    <w:p w:rsidR="002664E4" w:rsidRPr="00BA7F22" w:rsidRDefault="00700F2E" w:rsidP="00700F2E">
      <w:pPr>
        <w:tabs>
          <w:tab w:val="left" w:pos="426"/>
        </w:tabs>
        <w:autoSpaceDE w:val="0"/>
        <w:autoSpaceDN w:val="0"/>
        <w:adjustRightInd w:val="0"/>
        <w:ind w:left="-709" w:firstLine="709"/>
        <w:jc w:val="both"/>
        <w:rPr>
          <w:sz w:val="22"/>
          <w:szCs w:val="22"/>
          <w:lang w:val="en-US"/>
        </w:rPr>
      </w:pPr>
      <w:r w:rsidRPr="00700F2E">
        <w:rPr>
          <w:sz w:val="22"/>
          <w:szCs w:val="22"/>
          <w:lang w:val="en-US"/>
        </w:rPr>
        <w:t>In orde</w:t>
      </w:r>
      <w:r w:rsidR="0038427F">
        <w:rPr>
          <w:sz w:val="22"/>
          <w:szCs w:val="22"/>
          <w:lang w:val="en-US"/>
        </w:rPr>
        <w:t>r to optimize the costs of JSC “</w:t>
      </w:r>
      <w:proofErr w:type="spellStart"/>
      <w:r w:rsidRPr="00700F2E">
        <w:rPr>
          <w:sz w:val="22"/>
          <w:szCs w:val="22"/>
          <w:lang w:val="en-US"/>
        </w:rPr>
        <w:t>Temіrzholsu</w:t>
      </w:r>
      <w:proofErr w:type="spellEnd"/>
      <w:r w:rsidR="0038427F">
        <w:rPr>
          <w:sz w:val="22"/>
          <w:szCs w:val="22"/>
          <w:lang w:val="en-US"/>
        </w:rPr>
        <w:t>”</w:t>
      </w:r>
      <w:r w:rsidRPr="00700F2E">
        <w:rPr>
          <w:sz w:val="22"/>
          <w:szCs w:val="22"/>
          <w:lang w:val="en-US"/>
        </w:rPr>
        <w:t xml:space="preserve"> (utilities) and JS</w:t>
      </w:r>
      <w:r w:rsidR="0038427F">
        <w:rPr>
          <w:sz w:val="22"/>
          <w:szCs w:val="22"/>
          <w:lang w:val="en-US"/>
        </w:rPr>
        <w:t>C “</w:t>
      </w:r>
      <w:proofErr w:type="spellStart"/>
      <w:r w:rsidRPr="00700F2E">
        <w:rPr>
          <w:sz w:val="22"/>
          <w:szCs w:val="22"/>
          <w:lang w:val="en-US"/>
        </w:rPr>
        <w:t>Zheldorvodoteplosnabzhenie</w:t>
      </w:r>
      <w:proofErr w:type="spellEnd"/>
      <w:r w:rsidR="0038427F">
        <w:rPr>
          <w:sz w:val="22"/>
          <w:szCs w:val="22"/>
          <w:lang w:val="en-US"/>
        </w:rPr>
        <w:t>”</w:t>
      </w:r>
      <w:r w:rsidRPr="00700F2E">
        <w:rPr>
          <w:sz w:val="22"/>
          <w:szCs w:val="22"/>
          <w:lang w:val="en-US"/>
        </w:rPr>
        <w:t xml:space="preserve"> (utilities)</w:t>
      </w:r>
      <w:r w:rsidR="0038427F">
        <w:rPr>
          <w:sz w:val="22"/>
          <w:szCs w:val="22"/>
          <w:lang w:val="en-US"/>
        </w:rPr>
        <w:t>,</w:t>
      </w:r>
      <w:r w:rsidRPr="00700F2E">
        <w:rPr>
          <w:sz w:val="22"/>
          <w:szCs w:val="22"/>
          <w:lang w:val="en-US"/>
        </w:rPr>
        <w:t xml:space="preserve"> </w:t>
      </w:r>
      <w:r w:rsidR="0038427F">
        <w:rPr>
          <w:sz w:val="22"/>
          <w:szCs w:val="22"/>
          <w:lang w:val="en-US"/>
        </w:rPr>
        <w:t xml:space="preserve">they were </w:t>
      </w:r>
      <w:r w:rsidR="0038427F" w:rsidRPr="00700F2E">
        <w:rPr>
          <w:sz w:val="22"/>
          <w:szCs w:val="22"/>
          <w:lang w:val="en-US"/>
        </w:rPr>
        <w:t xml:space="preserve">added to JSC </w:t>
      </w:r>
      <w:r w:rsidR="0038427F">
        <w:rPr>
          <w:sz w:val="22"/>
          <w:szCs w:val="22"/>
          <w:lang w:val="en-US"/>
        </w:rPr>
        <w:t>“</w:t>
      </w:r>
      <w:proofErr w:type="spellStart"/>
      <w:r w:rsidR="0038427F" w:rsidRPr="00700F2E">
        <w:rPr>
          <w:sz w:val="22"/>
          <w:szCs w:val="22"/>
          <w:lang w:val="en-US"/>
        </w:rPr>
        <w:t>Temіrzholsu</w:t>
      </w:r>
      <w:proofErr w:type="spellEnd"/>
      <w:r w:rsidR="0038427F">
        <w:rPr>
          <w:sz w:val="22"/>
          <w:szCs w:val="22"/>
          <w:lang w:val="en-US"/>
        </w:rPr>
        <w:t xml:space="preserve">” (utilities). </w:t>
      </w:r>
      <w:r w:rsidRPr="00700F2E">
        <w:rPr>
          <w:sz w:val="22"/>
          <w:szCs w:val="22"/>
          <w:lang w:val="en-US"/>
        </w:rPr>
        <w:t xml:space="preserve">It is expected that JSC </w:t>
      </w:r>
      <w:r w:rsidR="0038427F">
        <w:rPr>
          <w:sz w:val="22"/>
          <w:szCs w:val="22"/>
          <w:lang w:val="en-US"/>
        </w:rPr>
        <w:t>“</w:t>
      </w:r>
      <w:proofErr w:type="spellStart"/>
      <w:r w:rsidRPr="00700F2E">
        <w:rPr>
          <w:sz w:val="22"/>
          <w:szCs w:val="22"/>
          <w:lang w:val="en-US"/>
        </w:rPr>
        <w:t>Temіrzholsu</w:t>
      </w:r>
      <w:proofErr w:type="spellEnd"/>
      <w:r w:rsidR="0038427F">
        <w:rPr>
          <w:sz w:val="22"/>
          <w:szCs w:val="22"/>
          <w:lang w:val="en-US"/>
        </w:rPr>
        <w:t>”</w:t>
      </w:r>
      <w:r w:rsidRPr="00700F2E">
        <w:rPr>
          <w:sz w:val="22"/>
          <w:szCs w:val="22"/>
          <w:lang w:val="en-US"/>
        </w:rPr>
        <w:t xml:space="preserve"> in the future </w:t>
      </w:r>
      <w:r w:rsidR="0038427F">
        <w:rPr>
          <w:sz w:val="22"/>
          <w:szCs w:val="22"/>
          <w:lang w:val="en-US"/>
        </w:rPr>
        <w:t xml:space="preserve">will </w:t>
      </w:r>
      <w:r w:rsidRPr="00700F2E">
        <w:rPr>
          <w:sz w:val="22"/>
          <w:szCs w:val="22"/>
          <w:lang w:val="en-US"/>
        </w:rPr>
        <w:t xml:space="preserve">join one of the four main areas of activity that operates backbone infrastructure. In addition, </w:t>
      </w:r>
      <w:proofErr w:type="spellStart"/>
      <w:r w:rsidRPr="00700F2E">
        <w:rPr>
          <w:sz w:val="22"/>
          <w:szCs w:val="22"/>
          <w:lang w:val="en-US"/>
        </w:rPr>
        <w:t>KTZ</w:t>
      </w:r>
      <w:r w:rsidR="0038427F">
        <w:rPr>
          <w:sz w:val="22"/>
          <w:szCs w:val="22"/>
          <w:lang w:val="en-US"/>
        </w:rPr>
        <w:t>h</w:t>
      </w:r>
      <w:proofErr w:type="spellEnd"/>
      <w:r w:rsidRPr="00700F2E">
        <w:rPr>
          <w:sz w:val="22"/>
          <w:szCs w:val="22"/>
          <w:lang w:val="en-US"/>
        </w:rPr>
        <w:t xml:space="preserve"> is currently working with the </w:t>
      </w:r>
      <w:r w:rsidR="0038427F">
        <w:rPr>
          <w:sz w:val="22"/>
          <w:szCs w:val="22"/>
          <w:lang w:val="en-US"/>
        </w:rPr>
        <w:t>Fund</w:t>
      </w:r>
      <w:r w:rsidRPr="00700F2E">
        <w:rPr>
          <w:sz w:val="22"/>
          <w:szCs w:val="22"/>
          <w:lang w:val="en-US"/>
        </w:rPr>
        <w:t xml:space="preserve"> to reduce costs.</w:t>
      </w:r>
    </w:p>
    <w:p w:rsidR="002664E4" w:rsidRPr="00D63DD9" w:rsidRDefault="002664E4" w:rsidP="002664E4">
      <w:pPr>
        <w:tabs>
          <w:tab w:val="left" w:pos="426"/>
        </w:tabs>
        <w:autoSpaceDE w:val="0"/>
        <w:autoSpaceDN w:val="0"/>
        <w:adjustRightInd w:val="0"/>
        <w:ind w:left="-709" w:firstLine="709"/>
        <w:jc w:val="both"/>
        <w:rPr>
          <w:sz w:val="22"/>
          <w:szCs w:val="22"/>
          <w:lang w:val="en-US"/>
        </w:rPr>
      </w:pPr>
      <w:r w:rsidRPr="00D63DD9">
        <w:rPr>
          <w:b/>
          <w:sz w:val="22"/>
          <w:szCs w:val="22"/>
          <w:lang w:val="en-US"/>
        </w:rPr>
        <w:t xml:space="preserve">Capital costs </w:t>
      </w:r>
      <w:r w:rsidRPr="00D63DD9">
        <w:rPr>
          <w:sz w:val="22"/>
          <w:szCs w:val="22"/>
          <w:lang w:val="en-US"/>
        </w:rPr>
        <w:t xml:space="preserve">for this segment in </w:t>
      </w:r>
      <w:r w:rsidR="00812F7C">
        <w:rPr>
          <w:sz w:val="22"/>
          <w:szCs w:val="22"/>
          <w:lang w:val="en-US"/>
        </w:rPr>
        <w:t>the period</w:t>
      </w:r>
      <w:r w:rsidRPr="00D63DD9">
        <w:rPr>
          <w:sz w:val="22"/>
          <w:szCs w:val="22"/>
          <w:lang w:val="en-US"/>
        </w:rPr>
        <w:t xml:space="preserve"> amounted to </w:t>
      </w:r>
      <w:r>
        <w:rPr>
          <w:sz w:val="22"/>
          <w:szCs w:val="22"/>
          <w:lang w:val="en-US"/>
        </w:rPr>
        <w:t xml:space="preserve">KZT </w:t>
      </w:r>
      <w:r w:rsidR="00812F7C">
        <w:rPr>
          <w:sz w:val="22"/>
          <w:szCs w:val="22"/>
          <w:lang w:val="en-US"/>
        </w:rPr>
        <w:t>197.3</w:t>
      </w:r>
      <w:r>
        <w:rPr>
          <w:sz w:val="22"/>
          <w:szCs w:val="22"/>
          <w:lang w:val="en-US"/>
        </w:rPr>
        <w:t xml:space="preserve"> billion,</w:t>
      </w:r>
      <w:r w:rsidRPr="00D63DD9">
        <w:rPr>
          <w:sz w:val="22"/>
          <w:szCs w:val="22"/>
          <w:lang w:val="en-US"/>
        </w:rPr>
        <w:t xml:space="preserve"> primarily </w:t>
      </w:r>
      <w:r>
        <w:rPr>
          <w:sz w:val="22"/>
          <w:szCs w:val="22"/>
          <w:lang w:val="en-US"/>
        </w:rPr>
        <w:t>directed</w:t>
      </w:r>
      <w:r w:rsidRPr="00D63DD9">
        <w:rPr>
          <w:sz w:val="22"/>
          <w:szCs w:val="22"/>
          <w:lang w:val="en-US"/>
        </w:rPr>
        <w:t xml:space="preserve"> on the following projects:</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“A</w:t>
      </w:r>
      <w:r w:rsidRPr="00812F7C">
        <w:rPr>
          <w:sz w:val="22"/>
          <w:szCs w:val="22"/>
          <w:lang w:val="en-US"/>
        </w:rPr>
        <w:t xml:space="preserve">cquisition of </w:t>
      </w:r>
      <w:r>
        <w:rPr>
          <w:sz w:val="22"/>
          <w:szCs w:val="22"/>
          <w:lang w:val="en-US"/>
        </w:rPr>
        <w:t xml:space="preserve">freight </w:t>
      </w:r>
      <w:r w:rsidRPr="00812F7C">
        <w:rPr>
          <w:sz w:val="22"/>
          <w:szCs w:val="22"/>
          <w:lang w:val="en-US"/>
        </w:rPr>
        <w:t>wagons</w:t>
      </w:r>
      <w:r>
        <w:rPr>
          <w:sz w:val="22"/>
          <w:szCs w:val="22"/>
          <w:lang w:val="en-US"/>
        </w:rPr>
        <w:t>”</w:t>
      </w:r>
      <w:r w:rsidRPr="00812F7C">
        <w:rPr>
          <w:sz w:val="22"/>
          <w:szCs w:val="22"/>
          <w:lang w:val="en-US"/>
        </w:rPr>
        <w:t xml:space="preserve"> </w:t>
      </w:r>
      <w:r>
        <w:rPr>
          <w:sz w:val="22"/>
          <w:szCs w:val="22"/>
          <w:lang w:val="en-US"/>
        </w:rPr>
        <w:t>–</w:t>
      </w:r>
      <w:r w:rsidRPr="00812F7C">
        <w:rPr>
          <w:sz w:val="22"/>
          <w:szCs w:val="22"/>
          <w:lang w:val="en-US"/>
        </w:rPr>
        <w:t xml:space="preserve"> </w:t>
      </w:r>
      <w:r>
        <w:rPr>
          <w:sz w:val="22"/>
          <w:szCs w:val="22"/>
          <w:lang w:val="en-US"/>
        </w:rPr>
        <w:t xml:space="preserve">KZT </w:t>
      </w:r>
      <w:r w:rsidRPr="00812F7C">
        <w:rPr>
          <w:sz w:val="22"/>
          <w:szCs w:val="22"/>
          <w:lang w:val="en-US"/>
        </w:rPr>
        <w:t>73.9 billion;</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sidRPr="00812F7C">
        <w:rPr>
          <w:sz w:val="22"/>
          <w:szCs w:val="22"/>
          <w:lang w:val="en-US"/>
        </w:rPr>
        <w:t xml:space="preserve">• Maintaining productive assets and other property, directly involved in the production and administrative activities </w:t>
      </w:r>
      <w:r>
        <w:rPr>
          <w:sz w:val="22"/>
          <w:szCs w:val="22"/>
          <w:lang w:val="en-US"/>
        </w:rPr>
        <w:t>of subsidiaries</w:t>
      </w:r>
      <w:r w:rsidRPr="00812F7C">
        <w:rPr>
          <w:sz w:val="22"/>
          <w:szCs w:val="22"/>
          <w:lang w:val="en-US"/>
        </w:rPr>
        <w:t xml:space="preserve">: </w:t>
      </w:r>
      <w:r>
        <w:rPr>
          <w:sz w:val="22"/>
          <w:szCs w:val="22"/>
          <w:lang w:val="en-US"/>
        </w:rPr>
        <w:t xml:space="preserve">implementation of </w:t>
      </w:r>
      <w:r w:rsidRPr="00812F7C">
        <w:rPr>
          <w:sz w:val="22"/>
          <w:szCs w:val="22"/>
          <w:lang w:val="en-US"/>
        </w:rPr>
        <w:t xml:space="preserve">the Plan of investments of companies </w:t>
      </w:r>
      <w:r>
        <w:rPr>
          <w:sz w:val="22"/>
          <w:szCs w:val="22"/>
          <w:lang w:val="en-US"/>
        </w:rPr>
        <w:t xml:space="preserve">of </w:t>
      </w:r>
      <w:r w:rsidRPr="00812F7C">
        <w:rPr>
          <w:sz w:val="22"/>
          <w:szCs w:val="22"/>
          <w:lang w:val="en-US"/>
        </w:rPr>
        <w:t xml:space="preserve">JSC </w:t>
      </w:r>
      <w:r>
        <w:rPr>
          <w:sz w:val="22"/>
          <w:szCs w:val="22"/>
          <w:lang w:val="en-US"/>
        </w:rPr>
        <w:t>“</w:t>
      </w:r>
      <w:r w:rsidRPr="00812F7C">
        <w:rPr>
          <w:sz w:val="22"/>
          <w:szCs w:val="22"/>
          <w:lang w:val="en-US"/>
        </w:rPr>
        <w:t>NC</w:t>
      </w:r>
      <w:r>
        <w:rPr>
          <w:sz w:val="22"/>
          <w:szCs w:val="22"/>
          <w:lang w:val="en-US"/>
        </w:rPr>
        <w:t xml:space="preserve"> “</w:t>
      </w:r>
      <w:proofErr w:type="spellStart"/>
      <w:r w:rsidRPr="00812F7C">
        <w:rPr>
          <w:sz w:val="22"/>
          <w:szCs w:val="22"/>
          <w:lang w:val="en-US"/>
        </w:rPr>
        <w:t>KTZ</w:t>
      </w:r>
      <w:r>
        <w:rPr>
          <w:sz w:val="22"/>
          <w:szCs w:val="22"/>
          <w:lang w:val="en-US"/>
        </w:rPr>
        <w:t>h</w:t>
      </w:r>
      <w:proofErr w:type="spellEnd"/>
      <w:r>
        <w:rPr>
          <w:sz w:val="22"/>
          <w:szCs w:val="22"/>
          <w:lang w:val="en-US"/>
        </w:rPr>
        <w:t>” –</w:t>
      </w:r>
      <w:r w:rsidRPr="00812F7C">
        <w:rPr>
          <w:sz w:val="22"/>
          <w:szCs w:val="22"/>
          <w:lang w:val="en-US"/>
        </w:rPr>
        <w:t xml:space="preserve"> </w:t>
      </w:r>
      <w:r>
        <w:rPr>
          <w:sz w:val="22"/>
          <w:szCs w:val="22"/>
          <w:lang w:val="en-US"/>
        </w:rPr>
        <w:t xml:space="preserve">KZT </w:t>
      </w:r>
      <w:r w:rsidRPr="00812F7C">
        <w:rPr>
          <w:sz w:val="22"/>
          <w:szCs w:val="22"/>
          <w:lang w:val="en-US"/>
        </w:rPr>
        <w:t>54.9 billion;</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“A</w:t>
      </w:r>
      <w:r w:rsidRPr="00812F7C">
        <w:rPr>
          <w:sz w:val="22"/>
          <w:szCs w:val="22"/>
          <w:lang w:val="en-US"/>
        </w:rPr>
        <w:t>cquisition of Evolution locomotives</w:t>
      </w:r>
      <w:r>
        <w:rPr>
          <w:sz w:val="22"/>
          <w:szCs w:val="22"/>
          <w:lang w:val="en-US"/>
        </w:rPr>
        <w:t>”</w:t>
      </w:r>
      <w:r w:rsidRPr="00812F7C">
        <w:rPr>
          <w:sz w:val="22"/>
          <w:szCs w:val="22"/>
          <w:lang w:val="en-US"/>
        </w:rPr>
        <w:t xml:space="preserve"> </w:t>
      </w:r>
      <w:r>
        <w:rPr>
          <w:sz w:val="22"/>
          <w:szCs w:val="22"/>
          <w:lang w:val="en-US"/>
        </w:rPr>
        <w:t>–</w:t>
      </w:r>
      <w:r w:rsidRPr="00812F7C">
        <w:rPr>
          <w:sz w:val="22"/>
          <w:szCs w:val="22"/>
          <w:lang w:val="en-US"/>
        </w:rPr>
        <w:t xml:space="preserve"> </w:t>
      </w:r>
      <w:r>
        <w:rPr>
          <w:sz w:val="22"/>
          <w:szCs w:val="22"/>
          <w:lang w:val="en-US"/>
        </w:rPr>
        <w:t xml:space="preserve">KZT </w:t>
      </w:r>
      <w:r w:rsidRPr="00812F7C">
        <w:rPr>
          <w:sz w:val="22"/>
          <w:szCs w:val="22"/>
          <w:lang w:val="en-US"/>
        </w:rPr>
        <w:t>18</w:t>
      </w:r>
      <w:r>
        <w:rPr>
          <w:sz w:val="22"/>
          <w:szCs w:val="22"/>
          <w:lang w:val="en-US"/>
        </w:rPr>
        <w:t>.</w:t>
      </w:r>
      <w:r w:rsidRPr="00812F7C">
        <w:rPr>
          <w:sz w:val="22"/>
          <w:szCs w:val="22"/>
          <w:lang w:val="en-US"/>
        </w:rPr>
        <w:t>2 billion;</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“Construction of Tele</w:t>
      </w:r>
      <w:r w:rsidRPr="00812F7C">
        <w:rPr>
          <w:sz w:val="22"/>
          <w:szCs w:val="22"/>
          <w:lang w:val="en-US"/>
        </w:rPr>
        <w:t xml:space="preserve"> and Radio</w:t>
      </w:r>
      <w:r>
        <w:rPr>
          <w:sz w:val="22"/>
          <w:szCs w:val="22"/>
          <w:lang w:val="en-US"/>
        </w:rPr>
        <w:t xml:space="preserve"> Complex </w:t>
      </w:r>
      <w:r w:rsidRPr="00812F7C">
        <w:rPr>
          <w:sz w:val="22"/>
          <w:szCs w:val="22"/>
          <w:lang w:val="en-US"/>
        </w:rPr>
        <w:t>in Astana</w:t>
      </w:r>
      <w:r>
        <w:rPr>
          <w:sz w:val="22"/>
          <w:szCs w:val="22"/>
          <w:lang w:val="en-US"/>
        </w:rPr>
        <w:t>”</w:t>
      </w:r>
      <w:r w:rsidRPr="00812F7C">
        <w:rPr>
          <w:sz w:val="22"/>
          <w:szCs w:val="22"/>
          <w:lang w:val="en-US"/>
        </w:rPr>
        <w:t xml:space="preserve"> </w:t>
      </w:r>
      <w:r>
        <w:rPr>
          <w:sz w:val="22"/>
          <w:szCs w:val="22"/>
          <w:lang w:val="en-US"/>
        </w:rPr>
        <w:t>–</w:t>
      </w:r>
      <w:r w:rsidRPr="00812F7C">
        <w:rPr>
          <w:sz w:val="22"/>
          <w:szCs w:val="22"/>
          <w:lang w:val="en-US"/>
        </w:rPr>
        <w:t xml:space="preserve"> </w:t>
      </w:r>
      <w:r>
        <w:rPr>
          <w:sz w:val="22"/>
          <w:szCs w:val="22"/>
          <w:lang w:val="en-US"/>
        </w:rPr>
        <w:t xml:space="preserve">KZT </w:t>
      </w:r>
      <w:r w:rsidRPr="00812F7C">
        <w:rPr>
          <w:sz w:val="22"/>
          <w:szCs w:val="22"/>
          <w:lang w:val="en-US"/>
        </w:rPr>
        <w:t>12.9 billion;</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w:t>
      </w:r>
      <w:r w:rsidRPr="00812F7C">
        <w:rPr>
          <w:sz w:val="22"/>
          <w:szCs w:val="22"/>
          <w:lang w:val="en-US"/>
        </w:rPr>
        <w:t>Con</w:t>
      </w:r>
      <w:r>
        <w:rPr>
          <w:sz w:val="22"/>
          <w:szCs w:val="22"/>
          <w:lang w:val="en-US"/>
        </w:rPr>
        <w:t>struction of a new railway line “</w:t>
      </w:r>
      <w:proofErr w:type="spellStart"/>
      <w:r w:rsidRPr="00812F7C">
        <w:rPr>
          <w:sz w:val="22"/>
          <w:szCs w:val="22"/>
          <w:lang w:val="en-US"/>
        </w:rPr>
        <w:t>Zhetygen-Korgas</w:t>
      </w:r>
      <w:proofErr w:type="spellEnd"/>
      <w:r>
        <w:rPr>
          <w:sz w:val="22"/>
          <w:szCs w:val="22"/>
          <w:lang w:val="en-US"/>
        </w:rPr>
        <w:t>” –</w:t>
      </w:r>
      <w:r w:rsidRPr="00812F7C">
        <w:rPr>
          <w:sz w:val="22"/>
          <w:szCs w:val="22"/>
          <w:lang w:val="en-US"/>
        </w:rPr>
        <w:t xml:space="preserve"> </w:t>
      </w:r>
      <w:r>
        <w:rPr>
          <w:sz w:val="22"/>
          <w:szCs w:val="22"/>
          <w:lang w:val="en-US"/>
        </w:rPr>
        <w:t xml:space="preserve">KZT </w:t>
      </w:r>
      <w:r w:rsidRPr="00812F7C">
        <w:rPr>
          <w:sz w:val="22"/>
          <w:szCs w:val="22"/>
          <w:lang w:val="en-US"/>
        </w:rPr>
        <w:t xml:space="preserve">11 </w:t>
      </w:r>
      <w:r>
        <w:rPr>
          <w:sz w:val="22"/>
          <w:szCs w:val="22"/>
          <w:lang w:val="en-US"/>
        </w:rPr>
        <w:t>billion</w:t>
      </w:r>
      <w:r w:rsidRPr="00812F7C">
        <w:rPr>
          <w:sz w:val="22"/>
          <w:szCs w:val="22"/>
          <w:lang w:val="en-US"/>
        </w:rPr>
        <w:t>;</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“C</w:t>
      </w:r>
      <w:r w:rsidRPr="00812F7C">
        <w:rPr>
          <w:sz w:val="22"/>
          <w:szCs w:val="22"/>
          <w:lang w:val="en-US"/>
        </w:rPr>
        <w:t>onstruction</w:t>
      </w:r>
      <w:r>
        <w:rPr>
          <w:sz w:val="22"/>
          <w:szCs w:val="22"/>
          <w:lang w:val="en-US"/>
        </w:rPr>
        <w:t xml:space="preserve"> of a new railway line “</w:t>
      </w:r>
      <w:proofErr w:type="spellStart"/>
      <w:r w:rsidRPr="00812F7C">
        <w:rPr>
          <w:sz w:val="22"/>
          <w:szCs w:val="22"/>
          <w:lang w:val="en-US"/>
        </w:rPr>
        <w:t>Uzen</w:t>
      </w:r>
      <w:proofErr w:type="spellEnd"/>
      <w:r>
        <w:rPr>
          <w:sz w:val="22"/>
          <w:szCs w:val="22"/>
          <w:lang w:val="en-US"/>
        </w:rPr>
        <w:t>-state border with Turkmenistan” –</w:t>
      </w:r>
      <w:r w:rsidRPr="00812F7C">
        <w:rPr>
          <w:sz w:val="22"/>
          <w:szCs w:val="22"/>
          <w:lang w:val="en-US"/>
        </w:rPr>
        <w:t xml:space="preserve"> </w:t>
      </w:r>
      <w:r>
        <w:rPr>
          <w:sz w:val="22"/>
          <w:szCs w:val="22"/>
          <w:lang w:val="en-US"/>
        </w:rPr>
        <w:t xml:space="preserve">KZT </w:t>
      </w:r>
      <w:r w:rsidRPr="00812F7C">
        <w:rPr>
          <w:sz w:val="22"/>
          <w:szCs w:val="22"/>
          <w:lang w:val="en-US"/>
        </w:rPr>
        <w:t xml:space="preserve">3.6 </w:t>
      </w:r>
      <w:r>
        <w:rPr>
          <w:sz w:val="22"/>
          <w:szCs w:val="22"/>
          <w:lang w:val="en-US"/>
        </w:rPr>
        <w:t>billion</w:t>
      </w:r>
      <w:r w:rsidRPr="00812F7C">
        <w:rPr>
          <w:sz w:val="22"/>
          <w:szCs w:val="22"/>
          <w:lang w:val="en-US"/>
        </w:rPr>
        <w:t>;</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w:t>
      </w:r>
      <w:r w:rsidRPr="00812F7C">
        <w:rPr>
          <w:sz w:val="22"/>
          <w:szCs w:val="22"/>
          <w:lang w:val="en-US"/>
        </w:rPr>
        <w:t xml:space="preserve">Construction of customs and border infrastructure and social facilities of the railway line </w:t>
      </w:r>
      <w:proofErr w:type="spellStart"/>
      <w:r w:rsidRPr="00812F7C">
        <w:rPr>
          <w:sz w:val="22"/>
          <w:szCs w:val="22"/>
          <w:lang w:val="en-US"/>
        </w:rPr>
        <w:t>Zhetygen-Korgas</w:t>
      </w:r>
      <w:proofErr w:type="spellEnd"/>
      <w:r>
        <w:rPr>
          <w:sz w:val="22"/>
          <w:szCs w:val="22"/>
          <w:lang w:val="en-US"/>
        </w:rPr>
        <w:t>”</w:t>
      </w:r>
      <w:r w:rsidRPr="00812F7C">
        <w:rPr>
          <w:sz w:val="22"/>
          <w:szCs w:val="22"/>
          <w:lang w:val="en-US"/>
        </w:rPr>
        <w:t xml:space="preserve"> (including feasibility studies) </w:t>
      </w:r>
      <w:r>
        <w:rPr>
          <w:sz w:val="22"/>
          <w:szCs w:val="22"/>
          <w:lang w:val="en-US"/>
        </w:rPr>
        <w:t>–</w:t>
      </w:r>
      <w:r w:rsidRPr="00812F7C">
        <w:rPr>
          <w:sz w:val="22"/>
          <w:szCs w:val="22"/>
          <w:lang w:val="en-US"/>
        </w:rPr>
        <w:t xml:space="preserve"> </w:t>
      </w:r>
      <w:r>
        <w:rPr>
          <w:sz w:val="22"/>
          <w:szCs w:val="22"/>
          <w:lang w:val="en-US"/>
        </w:rPr>
        <w:t xml:space="preserve">KZT </w:t>
      </w:r>
      <w:r w:rsidRPr="00812F7C">
        <w:rPr>
          <w:sz w:val="22"/>
          <w:szCs w:val="22"/>
          <w:lang w:val="en-US"/>
        </w:rPr>
        <w:t xml:space="preserve">4.5 </w:t>
      </w:r>
      <w:r>
        <w:rPr>
          <w:sz w:val="22"/>
          <w:szCs w:val="22"/>
          <w:lang w:val="en-US"/>
        </w:rPr>
        <w:t>billion</w:t>
      </w:r>
      <w:r w:rsidRPr="00812F7C">
        <w:rPr>
          <w:sz w:val="22"/>
          <w:szCs w:val="22"/>
          <w:lang w:val="en-US"/>
        </w:rPr>
        <w:t>;</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Pr>
          <w:sz w:val="22"/>
          <w:szCs w:val="22"/>
          <w:lang w:val="en-US"/>
        </w:rPr>
        <w:t>• “Construction of</w:t>
      </w:r>
      <w:r w:rsidRPr="00812F7C">
        <w:rPr>
          <w:sz w:val="22"/>
          <w:szCs w:val="22"/>
          <w:lang w:val="en-US"/>
        </w:rPr>
        <w:t xml:space="preserve"> factory </w:t>
      </w:r>
      <w:r>
        <w:rPr>
          <w:sz w:val="22"/>
          <w:szCs w:val="22"/>
          <w:lang w:val="en-US"/>
        </w:rPr>
        <w:t xml:space="preserve">for production of </w:t>
      </w:r>
      <w:r w:rsidRPr="00812F7C">
        <w:rPr>
          <w:sz w:val="22"/>
          <w:szCs w:val="22"/>
          <w:lang w:val="en-US"/>
        </w:rPr>
        <w:t xml:space="preserve">electric </w:t>
      </w:r>
      <w:r>
        <w:rPr>
          <w:sz w:val="22"/>
          <w:szCs w:val="22"/>
          <w:lang w:val="en-US"/>
        </w:rPr>
        <w:t>locomotives</w:t>
      </w:r>
      <w:r w:rsidRPr="00812F7C">
        <w:rPr>
          <w:sz w:val="22"/>
          <w:szCs w:val="22"/>
          <w:lang w:val="en-US"/>
        </w:rPr>
        <w:t xml:space="preserve"> in Astana</w:t>
      </w:r>
      <w:r>
        <w:rPr>
          <w:sz w:val="22"/>
          <w:szCs w:val="22"/>
          <w:lang w:val="en-US"/>
        </w:rPr>
        <w:t>”</w:t>
      </w:r>
      <w:r w:rsidRPr="00812F7C">
        <w:rPr>
          <w:sz w:val="22"/>
          <w:szCs w:val="22"/>
          <w:lang w:val="en-US"/>
        </w:rPr>
        <w:t xml:space="preserve"> </w:t>
      </w:r>
      <w:r>
        <w:rPr>
          <w:sz w:val="22"/>
          <w:szCs w:val="22"/>
          <w:lang w:val="en-US"/>
        </w:rPr>
        <w:t>–</w:t>
      </w:r>
      <w:r w:rsidRPr="00812F7C">
        <w:rPr>
          <w:sz w:val="22"/>
          <w:szCs w:val="22"/>
          <w:lang w:val="en-US"/>
        </w:rPr>
        <w:t xml:space="preserve"> </w:t>
      </w:r>
      <w:r>
        <w:rPr>
          <w:sz w:val="22"/>
          <w:szCs w:val="22"/>
          <w:lang w:val="en-US"/>
        </w:rPr>
        <w:t xml:space="preserve">KZT </w:t>
      </w:r>
      <w:r w:rsidRPr="00812F7C">
        <w:rPr>
          <w:sz w:val="22"/>
          <w:szCs w:val="22"/>
          <w:lang w:val="en-US"/>
        </w:rPr>
        <w:t xml:space="preserve">3.6 </w:t>
      </w:r>
      <w:r>
        <w:rPr>
          <w:sz w:val="22"/>
          <w:szCs w:val="22"/>
          <w:lang w:val="en-US"/>
        </w:rPr>
        <w:t>billion</w:t>
      </w:r>
      <w:r w:rsidRPr="00812F7C">
        <w:rPr>
          <w:sz w:val="22"/>
          <w:szCs w:val="22"/>
          <w:lang w:val="en-US"/>
        </w:rPr>
        <w:t>;</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sidRPr="00812F7C">
        <w:rPr>
          <w:sz w:val="22"/>
          <w:szCs w:val="22"/>
          <w:lang w:val="en-US"/>
        </w:rPr>
        <w:t xml:space="preserve">The main sources of funding for capital expenditures </w:t>
      </w:r>
      <w:r>
        <w:rPr>
          <w:sz w:val="22"/>
          <w:szCs w:val="22"/>
          <w:lang w:val="en-US"/>
        </w:rPr>
        <w:t xml:space="preserve">of </w:t>
      </w:r>
      <w:proofErr w:type="spellStart"/>
      <w:r w:rsidRPr="00812F7C">
        <w:rPr>
          <w:sz w:val="22"/>
          <w:szCs w:val="22"/>
          <w:lang w:val="en-US"/>
        </w:rPr>
        <w:t>KTZ</w:t>
      </w:r>
      <w:r>
        <w:rPr>
          <w:sz w:val="22"/>
          <w:szCs w:val="22"/>
          <w:lang w:val="en-US"/>
        </w:rPr>
        <w:t>h</w:t>
      </w:r>
      <w:proofErr w:type="spellEnd"/>
      <w:r w:rsidRPr="00812F7C">
        <w:rPr>
          <w:sz w:val="22"/>
          <w:szCs w:val="22"/>
          <w:lang w:val="en-US"/>
        </w:rPr>
        <w:t>:</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sidRPr="00812F7C">
        <w:rPr>
          <w:sz w:val="22"/>
          <w:szCs w:val="22"/>
          <w:lang w:val="en-US"/>
        </w:rPr>
        <w:t xml:space="preserve">• </w:t>
      </w:r>
      <w:r>
        <w:rPr>
          <w:sz w:val="22"/>
          <w:szCs w:val="22"/>
          <w:lang w:val="en-US"/>
        </w:rPr>
        <w:t xml:space="preserve">KZT </w:t>
      </w:r>
      <w:r w:rsidR="00314FD5" w:rsidRPr="00314FD5">
        <w:rPr>
          <w:sz w:val="22"/>
          <w:szCs w:val="22"/>
          <w:lang w:val="en-US"/>
        </w:rPr>
        <w:t>119</w:t>
      </w:r>
      <w:r w:rsidR="00314FD5" w:rsidRPr="00F55A93">
        <w:rPr>
          <w:sz w:val="22"/>
          <w:szCs w:val="22"/>
          <w:lang w:val="en-US"/>
        </w:rPr>
        <w:t>.</w:t>
      </w:r>
      <w:r w:rsidR="00314FD5" w:rsidRPr="00314FD5">
        <w:rPr>
          <w:sz w:val="22"/>
          <w:szCs w:val="22"/>
          <w:lang w:val="en-US"/>
        </w:rPr>
        <w:t xml:space="preserve">4 </w:t>
      </w:r>
      <w:r>
        <w:rPr>
          <w:sz w:val="22"/>
          <w:szCs w:val="22"/>
          <w:lang w:val="en-US"/>
        </w:rPr>
        <w:t>billion</w:t>
      </w:r>
      <w:r w:rsidRPr="00812F7C">
        <w:rPr>
          <w:sz w:val="22"/>
          <w:szCs w:val="22"/>
          <w:lang w:val="en-US"/>
        </w:rPr>
        <w:t xml:space="preserve"> - own funds;</w:t>
      </w:r>
    </w:p>
    <w:p w:rsidR="00812F7C" w:rsidRPr="00812F7C" w:rsidRDefault="00812F7C" w:rsidP="00812F7C">
      <w:pPr>
        <w:tabs>
          <w:tab w:val="left" w:pos="426"/>
        </w:tabs>
        <w:autoSpaceDE w:val="0"/>
        <w:autoSpaceDN w:val="0"/>
        <w:adjustRightInd w:val="0"/>
        <w:ind w:left="-709" w:firstLine="709"/>
        <w:jc w:val="both"/>
        <w:rPr>
          <w:sz w:val="22"/>
          <w:szCs w:val="22"/>
          <w:lang w:val="en-US"/>
        </w:rPr>
      </w:pPr>
      <w:r w:rsidRPr="00812F7C">
        <w:rPr>
          <w:sz w:val="22"/>
          <w:szCs w:val="22"/>
          <w:lang w:val="en-US"/>
        </w:rPr>
        <w:t xml:space="preserve">• </w:t>
      </w:r>
      <w:r>
        <w:rPr>
          <w:sz w:val="22"/>
          <w:szCs w:val="22"/>
          <w:lang w:val="en-US"/>
        </w:rPr>
        <w:t>KZT 1</w:t>
      </w:r>
      <w:r w:rsidR="00314FD5">
        <w:rPr>
          <w:sz w:val="22"/>
          <w:szCs w:val="22"/>
          <w:lang w:val="en-US"/>
        </w:rPr>
        <w:t>4.6</w:t>
      </w:r>
      <w:r w:rsidRPr="00812F7C">
        <w:rPr>
          <w:sz w:val="22"/>
          <w:szCs w:val="22"/>
          <w:lang w:val="en-US"/>
        </w:rPr>
        <w:t xml:space="preserve"> </w:t>
      </w:r>
      <w:r>
        <w:rPr>
          <w:sz w:val="22"/>
          <w:szCs w:val="22"/>
          <w:lang w:val="en-US"/>
        </w:rPr>
        <w:t>billion</w:t>
      </w:r>
      <w:r w:rsidRPr="00812F7C">
        <w:rPr>
          <w:sz w:val="22"/>
          <w:szCs w:val="22"/>
          <w:lang w:val="en-US"/>
        </w:rPr>
        <w:t xml:space="preserve"> - the national budget;</w:t>
      </w:r>
    </w:p>
    <w:p w:rsidR="00D35579" w:rsidRPr="00314FD5" w:rsidRDefault="00812F7C" w:rsidP="00314FD5">
      <w:pPr>
        <w:tabs>
          <w:tab w:val="left" w:pos="426"/>
        </w:tabs>
        <w:autoSpaceDE w:val="0"/>
        <w:autoSpaceDN w:val="0"/>
        <w:adjustRightInd w:val="0"/>
        <w:ind w:left="-709" w:firstLine="709"/>
        <w:jc w:val="both"/>
        <w:rPr>
          <w:sz w:val="22"/>
          <w:szCs w:val="22"/>
        </w:rPr>
      </w:pPr>
      <w:r>
        <w:rPr>
          <w:sz w:val="22"/>
          <w:szCs w:val="22"/>
          <w:lang w:val="en-US"/>
        </w:rPr>
        <w:t>• KZT 63.</w:t>
      </w:r>
      <w:r w:rsidR="00314FD5">
        <w:rPr>
          <w:sz w:val="22"/>
          <w:szCs w:val="22"/>
          <w:lang w:val="en-US"/>
        </w:rPr>
        <w:t>3</w:t>
      </w:r>
      <w:r w:rsidRPr="00812F7C">
        <w:rPr>
          <w:sz w:val="22"/>
          <w:szCs w:val="22"/>
          <w:lang w:val="en-US"/>
        </w:rPr>
        <w:t xml:space="preserve"> </w:t>
      </w:r>
      <w:r>
        <w:rPr>
          <w:sz w:val="22"/>
          <w:szCs w:val="22"/>
          <w:lang w:val="en-US"/>
        </w:rPr>
        <w:t>billion</w:t>
      </w:r>
      <w:r w:rsidR="00314FD5">
        <w:rPr>
          <w:sz w:val="22"/>
          <w:szCs w:val="22"/>
          <w:lang w:val="en-US"/>
        </w:rPr>
        <w:t xml:space="preserve"> - borrowed funds.</w:t>
      </w:r>
    </w:p>
    <w:p w:rsidR="002664E4" w:rsidRPr="00334790" w:rsidRDefault="002664E4" w:rsidP="002664E4">
      <w:pPr>
        <w:tabs>
          <w:tab w:val="left" w:pos="426"/>
        </w:tabs>
        <w:autoSpaceDE w:val="0"/>
        <w:autoSpaceDN w:val="0"/>
        <w:adjustRightInd w:val="0"/>
        <w:ind w:left="-709" w:firstLine="709"/>
        <w:jc w:val="both"/>
        <w:rPr>
          <w:b/>
          <w:sz w:val="22"/>
          <w:szCs w:val="22"/>
          <w:lang w:val="en-US"/>
        </w:rPr>
      </w:pPr>
    </w:p>
    <w:p w:rsidR="00344B3E" w:rsidRDefault="00344B3E" w:rsidP="002664E4">
      <w:pPr>
        <w:tabs>
          <w:tab w:val="left" w:pos="426"/>
        </w:tabs>
        <w:autoSpaceDE w:val="0"/>
        <w:autoSpaceDN w:val="0"/>
        <w:adjustRightInd w:val="0"/>
        <w:ind w:left="-709" w:firstLine="709"/>
        <w:jc w:val="both"/>
        <w:rPr>
          <w:b/>
          <w:sz w:val="22"/>
          <w:szCs w:val="22"/>
          <w:lang w:val="en-US"/>
        </w:rPr>
      </w:pPr>
    </w:p>
    <w:p w:rsidR="00584768" w:rsidRDefault="00584768" w:rsidP="002664E4">
      <w:pPr>
        <w:tabs>
          <w:tab w:val="left" w:pos="426"/>
        </w:tabs>
        <w:autoSpaceDE w:val="0"/>
        <w:autoSpaceDN w:val="0"/>
        <w:adjustRightInd w:val="0"/>
        <w:ind w:left="-709" w:firstLine="709"/>
        <w:jc w:val="both"/>
        <w:rPr>
          <w:b/>
          <w:sz w:val="22"/>
          <w:szCs w:val="22"/>
        </w:rPr>
      </w:pPr>
    </w:p>
    <w:p w:rsidR="00353DB4" w:rsidRPr="00353DB4" w:rsidRDefault="00353DB4" w:rsidP="002664E4">
      <w:pPr>
        <w:tabs>
          <w:tab w:val="left" w:pos="426"/>
        </w:tabs>
        <w:autoSpaceDE w:val="0"/>
        <w:autoSpaceDN w:val="0"/>
        <w:adjustRightInd w:val="0"/>
        <w:ind w:left="-709" w:firstLine="709"/>
        <w:jc w:val="both"/>
        <w:rPr>
          <w:b/>
          <w:sz w:val="22"/>
          <w:szCs w:val="22"/>
        </w:rPr>
      </w:pPr>
    </w:p>
    <w:p w:rsidR="002664E4" w:rsidRPr="000F2EFA" w:rsidRDefault="002664E4" w:rsidP="002664E4">
      <w:pPr>
        <w:pStyle w:val="a3"/>
        <w:numPr>
          <w:ilvl w:val="1"/>
          <w:numId w:val="16"/>
        </w:numPr>
        <w:tabs>
          <w:tab w:val="left" w:pos="426"/>
        </w:tabs>
        <w:autoSpaceDE w:val="0"/>
        <w:autoSpaceDN w:val="0"/>
        <w:adjustRightInd w:val="0"/>
        <w:jc w:val="both"/>
        <w:rPr>
          <w:b/>
          <w:sz w:val="22"/>
          <w:szCs w:val="22"/>
          <w:lang w:val="en-US"/>
        </w:rPr>
      </w:pPr>
      <w:r w:rsidRPr="000F2EFA">
        <w:rPr>
          <w:b/>
          <w:sz w:val="22"/>
          <w:szCs w:val="22"/>
          <w:lang w:val="en-US"/>
        </w:rPr>
        <w:t xml:space="preserve">“Power” segment </w:t>
      </w:r>
    </w:p>
    <w:p w:rsidR="002664E4" w:rsidRPr="000F2EFA" w:rsidRDefault="002664E4" w:rsidP="002664E4">
      <w:pPr>
        <w:pStyle w:val="a3"/>
        <w:tabs>
          <w:tab w:val="left" w:pos="426"/>
        </w:tabs>
        <w:autoSpaceDE w:val="0"/>
        <w:autoSpaceDN w:val="0"/>
        <w:adjustRightInd w:val="0"/>
        <w:jc w:val="both"/>
        <w:rPr>
          <w:b/>
          <w:sz w:val="22"/>
          <w:szCs w:val="22"/>
          <w:lang w:val="en-US"/>
        </w:rPr>
      </w:pPr>
    </w:p>
    <w:p w:rsidR="002664E4" w:rsidRDefault="002664E4" w:rsidP="002664E4">
      <w:pPr>
        <w:tabs>
          <w:tab w:val="left" w:pos="426"/>
        </w:tabs>
        <w:ind w:left="-709" w:firstLine="709"/>
        <w:jc w:val="both"/>
        <w:rPr>
          <w:rStyle w:val="apple-style-span"/>
          <w:b/>
          <w:sz w:val="22"/>
          <w:szCs w:val="22"/>
          <w:shd w:val="clear" w:color="auto" w:fill="FFFFFF"/>
          <w:lang w:val="en-US"/>
        </w:rPr>
      </w:pPr>
      <w:r>
        <w:rPr>
          <w:rStyle w:val="apple-style-span"/>
          <w:b/>
          <w:sz w:val="22"/>
          <w:szCs w:val="22"/>
          <w:shd w:val="clear" w:color="auto" w:fill="FFFFFF"/>
          <w:lang w:val="en-US"/>
        </w:rPr>
        <w:t>Performance indicators</w:t>
      </w:r>
    </w:p>
    <w:p w:rsidR="00AD2D29" w:rsidRDefault="00AD2D29" w:rsidP="002664E4">
      <w:pPr>
        <w:tabs>
          <w:tab w:val="left" w:pos="426"/>
        </w:tabs>
        <w:ind w:left="-709" w:firstLine="709"/>
        <w:jc w:val="both"/>
        <w:rPr>
          <w:rStyle w:val="apple-style-span"/>
          <w:b/>
          <w:sz w:val="22"/>
          <w:szCs w:val="22"/>
          <w:shd w:val="clear" w:color="auto" w:fill="FFFFFF"/>
          <w:lang w:val="en-US"/>
        </w:rPr>
      </w:pPr>
    </w:p>
    <w:p w:rsidR="00AD2D29" w:rsidRPr="00334790" w:rsidRDefault="00AD2D29" w:rsidP="00AD2D29">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344B3E" w:rsidRPr="00334790" w:rsidRDefault="00344B3E" w:rsidP="00AD2D29">
      <w:pPr>
        <w:tabs>
          <w:tab w:val="left" w:pos="426"/>
        </w:tabs>
        <w:ind w:left="-709" w:firstLine="709"/>
        <w:jc w:val="both"/>
        <w:rPr>
          <w:rStyle w:val="apple-style-span"/>
          <w:b/>
          <w:color w:val="FF0000"/>
          <w:sz w:val="22"/>
          <w:szCs w:val="22"/>
          <w:shd w:val="clear" w:color="auto" w:fill="FFFFFF"/>
          <w:lang w:val="en-US"/>
        </w:rPr>
      </w:pPr>
    </w:p>
    <w:tbl>
      <w:tblPr>
        <w:tblW w:w="9770" w:type="dxa"/>
        <w:tblInd w:w="-6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2438"/>
        <w:gridCol w:w="1045"/>
        <w:gridCol w:w="965"/>
        <w:gridCol w:w="965"/>
        <w:gridCol w:w="981"/>
        <w:gridCol w:w="3376"/>
      </w:tblGrid>
      <w:tr w:rsidR="00AD2D29" w:rsidRPr="001C40E9" w:rsidTr="00344B3E">
        <w:trPr>
          <w:trHeight w:val="228"/>
        </w:trPr>
        <w:tc>
          <w:tcPr>
            <w:tcW w:w="2438" w:type="dxa"/>
            <w:shd w:val="clear" w:color="auto" w:fill="auto"/>
            <w:vAlign w:val="center"/>
          </w:tcPr>
          <w:p w:rsidR="00AD2D29" w:rsidRPr="001C40E9" w:rsidRDefault="00AD2D29" w:rsidP="00770BC8">
            <w:pPr>
              <w:jc w:val="center"/>
              <w:rPr>
                <w:b/>
                <w:bCs/>
                <w:iCs/>
                <w:sz w:val="18"/>
                <w:szCs w:val="18"/>
                <w:lang w:val="en-US"/>
              </w:rPr>
            </w:pPr>
            <w:r w:rsidRPr="001C40E9">
              <w:rPr>
                <w:b/>
                <w:bCs/>
                <w:iCs/>
                <w:sz w:val="18"/>
                <w:szCs w:val="18"/>
                <w:lang w:val="en-US"/>
              </w:rPr>
              <w:t xml:space="preserve">Description </w:t>
            </w:r>
          </w:p>
        </w:tc>
        <w:tc>
          <w:tcPr>
            <w:tcW w:w="1045" w:type="dxa"/>
            <w:shd w:val="clear" w:color="auto" w:fill="auto"/>
            <w:vAlign w:val="center"/>
          </w:tcPr>
          <w:p w:rsidR="00AD2D29" w:rsidRPr="001C40E9" w:rsidRDefault="00AD2D29" w:rsidP="00770BC8">
            <w:pPr>
              <w:jc w:val="center"/>
              <w:rPr>
                <w:b/>
                <w:bCs/>
                <w:sz w:val="18"/>
                <w:szCs w:val="18"/>
                <w:lang w:val="en-US"/>
              </w:rPr>
            </w:pPr>
            <w:proofErr w:type="spellStart"/>
            <w:r w:rsidRPr="001C40E9">
              <w:rPr>
                <w:b/>
                <w:bCs/>
                <w:sz w:val="18"/>
                <w:szCs w:val="18"/>
                <w:lang w:val="en-US"/>
              </w:rPr>
              <w:t>UoM</w:t>
            </w:r>
            <w:proofErr w:type="spellEnd"/>
          </w:p>
        </w:tc>
        <w:tc>
          <w:tcPr>
            <w:tcW w:w="965" w:type="dxa"/>
            <w:vAlign w:val="center"/>
          </w:tcPr>
          <w:p w:rsidR="00AD2D29" w:rsidRPr="001C40E9" w:rsidRDefault="00AD2D29" w:rsidP="00300106">
            <w:pPr>
              <w:jc w:val="center"/>
              <w:rPr>
                <w:b/>
                <w:bCs/>
                <w:sz w:val="18"/>
                <w:szCs w:val="18"/>
                <w:lang w:val="en-US"/>
              </w:rPr>
            </w:pPr>
            <w:r w:rsidRPr="001C40E9">
              <w:rPr>
                <w:b/>
                <w:bCs/>
                <w:sz w:val="18"/>
                <w:szCs w:val="18"/>
                <w:lang w:val="en-US"/>
              </w:rPr>
              <w:t xml:space="preserve">H1 2012 </w:t>
            </w:r>
          </w:p>
        </w:tc>
        <w:tc>
          <w:tcPr>
            <w:tcW w:w="965" w:type="dxa"/>
            <w:vAlign w:val="center"/>
          </w:tcPr>
          <w:p w:rsidR="00AD2D29" w:rsidRPr="001C40E9" w:rsidRDefault="00AD2D29" w:rsidP="00300106">
            <w:pPr>
              <w:jc w:val="center"/>
              <w:rPr>
                <w:b/>
                <w:bCs/>
                <w:sz w:val="18"/>
                <w:szCs w:val="18"/>
                <w:lang w:val="en-US"/>
              </w:rPr>
            </w:pPr>
            <w:r w:rsidRPr="001C40E9">
              <w:rPr>
                <w:b/>
                <w:bCs/>
                <w:sz w:val="18"/>
                <w:szCs w:val="18"/>
                <w:lang w:val="en-US"/>
              </w:rPr>
              <w:t xml:space="preserve">H1 2011 </w:t>
            </w:r>
          </w:p>
        </w:tc>
        <w:tc>
          <w:tcPr>
            <w:tcW w:w="981" w:type="dxa"/>
            <w:vAlign w:val="center"/>
          </w:tcPr>
          <w:p w:rsidR="00AD2D29" w:rsidRPr="001C40E9" w:rsidRDefault="00AD2D29" w:rsidP="00300106">
            <w:pPr>
              <w:jc w:val="center"/>
              <w:rPr>
                <w:b/>
                <w:bCs/>
                <w:sz w:val="18"/>
                <w:szCs w:val="18"/>
                <w:lang w:val="en-US"/>
              </w:rPr>
            </w:pPr>
            <w:r w:rsidRPr="001C40E9">
              <w:rPr>
                <w:b/>
                <w:bCs/>
                <w:sz w:val="18"/>
                <w:szCs w:val="18"/>
                <w:lang w:val="en-US"/>
              </w:rPr>
              <w:t xml:space="preserve">H1 2012/H1 </w:t>
            </w:r>
            <w:r w:rsidRPr="001C40E9">
              <w:rPr>
                <w:b/>
                <w:bCs/>
                <w:sz w:val="18"/>
                <w:szCs w:val="18"/>
                <w:lang w:val="en-US"/>
              </w:rPr>
              <w:lastRenderedPageBreak/>
              <w:t xml:space="preserve">2011, </w:t>
            </w:r>
          </w:p>
          <w:p w:rsidR="00AD2D29" w:rsidRPr="001C40E9" w:rsidRDefault="00AD2D29" w:rsidP="00300106">
            <w:pPr>
              <w:jc w:val="center"/>
              <w:rPr>
                <w:b/>
                <w:bCs/>
                <w:sz w:val="18"/>
                <w:szCs w:val="18"/>
                <w:lang w:val="en-US"/>
              </w:rPr>
            </w:pPr>
            <w:r w:rsidRPr="001C40E9">
              <w:rPr>
                <w:b/>
                <w:bCs/>
                <w:sz w:val="18"/>
                <w:szCs w:val="18"/>
                <w:lang w:val="en-US"/>
              </w:rPr>
              <w:t>in %</w:t>
            </w:r>
          </w:p>
        </w:tc>
        <w:tc>
          <w:tcPr>
            <w:tcW w:w="3376" w:type="dxa"/>
            <w:vAlign w:val="center"/>
          </w:tcPr>
          <w:p w:rsidR="00AD2D29" w:rsidRPr="001C40E9" w:rsidRDefault="00AD2D29" w:rsidP="00770BC8">
            <w:pPr>
              <w:jc w:val="center"/>
              <w:rPr>
                <w:b/>
                <w:bCs/>
                <w:sz w:val="18"/>
                <w:szCs w:val="18"/>
                <w:lang w:val="en-US"/>
              </w:rPr>
            </w:pPr>
            <w:r w:rsidRPr="001C40E9">
              <w:rPr>
                <w:b/>
                <w:bCs/>
                <w:sz w:val="18"/>
                <w:szCs w:val="18"/>
                <w:lang w:val="en-US"/>
              </w:rPr>
              <w:lastRenderedPageBreak/>
              <w:t>Factors</w:t>
            </w:r>
          </w:p>
        </w:tc>
      </w:tr>
      <w:tr w:rsidR="00AD2D29" w:rsidRPr="00B5391C" w:rsidTr="00344B3E">
        <w:trPr>
          <w:trHeight w:val="228"/>
        </w:trPr>
        <w:tc>
          <w:tcPr>
            <w:tcW w:w="2438" w:type="dxa"/>
            <w:shd w:val="clear" w:color="auto" w:fill="auto"/>
          </w:tcPr>
          <w:p w:rsidR="00AD2D29" w:rsidRPr="001C40E9" w:rsidRDefault="00AD2D29" w:rsidP="00770BC8">
            <w:pPr>
              <w:rPr>
                <w:sz w:val="18"/>
                <w:szCs w:val="18"/>
                <w:lang w:val="en-US"/>
              </w:rPr>
            </w:pPr>
            <w:r w:rsidRPr="001C40E9">
              <w:rPr>
                <w:sz w:val="18"/>
                <w:szCs w:val="18"/>
                <w:lang w:val="en-US"/>
              </w:rPr>
              <w:lastRenderedPageBreak/>
              <w:t>Implementation of electric power</w:t>
            </w:r>
          </w:p>
        </w:tc>
        <w:tc>
          <w:tcPr>
            <w:tcW w:w="1045" w:type="dxa"/>
            <w:shd w:val="clear" w:color="auto" w:fill="auto"/>
            <w:vAlign w:val="center"/>
          </w:tcPr>
          <w:p w:rsidR="00AD2D29" w:rsidRPr="001C40E9" w:rsidRDefault="00AD2D29" w:rsidP="00770BC8">
            <w:pPr>
              <w:jc w:val="center"/>
              <w:rPr>
                <w:sz w:val="18"/>
                <w:szCs w:val="18"/>
                <w:lang w:val="en-US"/>
              </w:rPr>
            </w:pPr>
            <w:r w:rsidRPr="001C40E9">
              <w:rPr>
                <w:sz w:val="18"/>
                <w:szCs w:val="18"/>
                <w:lang w:val="en-US"/>
              </w:rPr>
              <w:t>million kWh</w:t>
            </w:r>
          </w:p>
        </w:tc>
        <w:tc>
          <w:tcPr>
            <w:tcW w:w="965" w:type="dxa"/>
            <w:vAlign w:val="center"/>
          </w:tcPr>
          <w:p w:rsidR="00AD2D29" w:rsidRPr="001C40E9" w:rsidRDefault="00AD2D29" w:rsidP="00300106">
            <w:pPr>
              <w:jc w:val="center"/>
              <w:rPr>
                <w:sz w:val="18"/>
                <w:szCs w:val="18"/>
              </w:rPr>
            </w:pPr>
            <w:r w:rsidRPr="001C40E9">
              <w:rPr>
                <w:sz w:val="18"/>
                <w:szCs w:val="18"/>
              </w:rPr>
              <w:t>2 829</w:t>
            </w:r>
          </w:p>
        </w:tc>
        <w:tc>
          <w:tcPr>
            <w:tcW w:w="965" w:type="dxa"/>
            <w:vAlign w:val="center"/>
          </w:tcPr>
          <w:p w:rsidR="00AD2D29" w:rsidRPr="001C40E9" w:rsidRDefault="00AD2D29" w:rsidP="00300106">
            <w:pPr>
              <w:jc w:val="center"/>
              <w:rPr>
                <w:sz w:val="18"/>
                <w:szCs w:val="18"/>
              </w:rPr>
            </w:pPr>
            <w:r w:rsidRPr="001C40E9">
              <w:rPr>
                <w:sz w:val="18"/>
                <w:szCs w:val="18"/>
              </w:rPr>
              <w:t>2 690</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105</w:t>
            </w:r>
          </w:p>
        </w:tc>
        <w:tc>
          <w:tcPr>
            <w:tcW w:w="3376" w:type="dxa"/>
            <w:vMerge w:val="restart"/>
          </w:tcPr>
          <w:p w:rsidR="00374FD0" w:rsidRPr="001C40E9" w:rsidRDefault="00374FD0" w:rsidP="00374FD0">
            <w:pPr>
              <w:autoSpaceDE w:val="0"/>
              <w:autoSpaceDN w:val="0"/>
              <w:spacing w:line="276" w:lineRule="auto"/>
              <w:jc w:val="both"/>
              <w:rPr>
                <w:sz w:val="18"/>
                <w:szCs w:val="18"/>
                <w:lang w:val="en-US" w:eastAsia="en-US"/>
              </w:rPr>
            </w:pPr>
            <w:r w:rsidRPr="001C40E9">
              <w:rPr>
                <w:sz w:val="18"/>
                <w:szCs w:val="18"/>
                <w:lang w:val="en-US" w:eastAsia="en-US"/>
              </w:rPr>
              <w:t>∙ growth in electricity sales due to the increase in electricity consumption;</w:t>
            </w:r>
          </w:p>
          <w:p w:rsidR="00374FD0" w:rsidRPr="001C40E9" w:rsidRDefault="00374FD0" w:rsidP="00374FD0">
            <w:pPr>
              <w:autoSpaceDE w:val="0"/>
              <w:autoSpaceDN w:val="0"/>
              <w:spacing w:line="276" w:lineRule="auto"/>
              <w:jc w:val="both"/>
              <w:rPr>
                <w:sz w:val="18"/>
                <w:szCs w:val="18"/>
                <w:lang w:val="en-US" w:eastAsia="en-US"/>
              </w:rPr>
            </w:pPr>
            <w:r w:rsidRPr="001C40E9">
              <w:rPr>
                <w:sz w:val="18"/>
                <w:szCs w:val="18"/>
                <w:lang w:val="en-US" w:eastAsia="en-US"/>
              </w:rPr>
              <w:t>∙ reduced heat production in the reporting period due to reduced thermal load, which depends on the outside air temperature during the heating season;</w:t>
            </w:r>
          </w:p>
          <w:p w:rsidR="00374FD0" w:rsidRPr="001C40E9" w:rsidRDefault="00374FD0" w:rsidP="00374FD0">
            <w:pPr>
              <w:autoSpaceDE w:val="0"/>
              <w:autoSpaceDN w:val="0"/>
              <w:spacing w:line="276" w:lineRule="auto"/>
              <w:jc w:val="both"/>
              <w:rPr>
                <w:sz w:val="18"/>
                <w:szCs w:val="18"/>
                <w:lang w:val="en-US" w:eastAsia="en-US"/>
              </w:rPr>
            </w:pPr>
            <w:r w:rsidRPr="001C40E9">
              <w:rPr>
                <w:sz w:val="18"/>
                <w:szCs w:val="18"/>
                <w:lang w:val="en-US" w:eastAsia="en-US"/>
              </w:rPr>
              <w:t>∙ increased electricity generation due to the growth of electricity generated by JSC “</w:t>
            </w:r>
            <w:proofErr w:type="spellStart"/>
            <w:r w:rsidRPr="001C40E9">
              <w:rPr>
                <w:sz w:val="18"/>
                <w:szCs w:val="18"/>
                <w:lang w:val="en-US" w:eastAsia="en-US"/>
              </w:rPr>
              <w:t>AlES</w:t>
            </w:r>
            <w:proofErr w:type="spellEnd"/>
            <w:r w:rsidRPr="001C40E9">
              <w:rPr>
                <w:sz w:val="18"/>
                <w:szCs w:val="18"/>
                <w:lang w:val="en-US" w:eastAsia="en-US"/>
              </w:rPr>
              <w:t>”, JSC “</w:t>
            </w:r>
            <w:proofErr w:type="spellStart"/>
            <w:r w:rsidRPr="001C40E9">
              <w:rPr>
                <w:sz w:val="18"/>
                <w:szCs w:val="18"/>
                <w:lang w:val="en-US" w:eastAsia="en-US"/>
              </w:rPr>
              <w:t>Shardarinskaya</w:t>
            </w:r>
            <w:proofErr w:type="spellEnd"/>
            <w:r w:rsidRPr="001C40E9">
              <w:rPr>
                <w:sz w:val="18"/>
                <w:szCs w:val="18"/>
                <w:lang w:val="en-US" w:eastAsia="en-US"/>
              </w:rPr>
              <w:t xml:space="preserve"> HPP”, JSC “</w:t>
            </w:r>
            <w:proofErr w:type="spellStart"/>
            <w:r w:rsidRPr="001C40E9">
              <w:rPr>
                <w:sz w:val="18"/>
                <w:szCs w:val="18"/>
                <w:lang w:val="en-US" w:eastAsia="en-US"/>
              </w:rPr>
              <w:t>Ekibastuzskaya</w:t>
            </w:r>
            <w:proofErr w:type="spellEnd"/>
            <w:r w:rsidRPr="001C40E9">
              <w:rPr>
                <w:sz w:val="18"/>
                <w:szCs w:val="18"/>
                <w:lang w:val="en-US" w:eastAsia="en-US"/>
              </w:rPr>
              <w:t xml:space="preserve"> GRES-2”</w:t>
            </w:r>
          </w:p>
          <w:p w:rsidR="00374FD0" w:rsidRPr="001C40E9" w:rsidRDefault="00374FD0" w:rsidP="00374FD0">
            <w:pPr>
              <w:autoSpaceDE w:val="0"/>
              <w:autoSpaceDN w:val="0"/>
              <w:spacing w:line="276" w:lineRule="auto"/>
              <w:jc w:val="both"/>
              <w:rPr>
                <w:sz w:val="18"/>
                <w:szCs w:val="18"/>
                <w:lang w:val="en-US" w:eastAsia="en-US"/>
              </w:rPr>
            </w:pPr>
            <w:r w:rsidRPr="001C40E9">
              <w:rPr>
                <w:sz w:val="18"/>
                <w:szCs w:val="18"/>
                <w:lang w:val="en-US" w:eastAsia="en-US"/>
              </w:rPr>
              <w:t>∙ increase in the purchase of electric power by consumers from generating companies and power suppliers through KEGOC;</w:t>
            </w:r>
          </w:p>
          <w:p w:rsidR="00374FD0" w:rsidRPr="001C40E9" w:rsidRDefault="00374FD0" w:rsidP="00374FD0">
            <w:pPr>
              <w:autoSpaceDE w:val="0"/>
              <w:autoSpaceDN w:val="0"/>
              <w:spacing w:line="276" w:lineRule="auto"/>
              <w:jc w:val="both"/>
              <w:rPr>
                <w:sz w:val="18"/>
                <w:szCs w:val="18"/>
                <w:lang w:val="en-US" w:eastAsia="en-US"/>
              </w:rPr>
            </w:pPr>
            <w:r w:rsidRPr="001C40E9">
              <w:rPr>
                <w:sz w:val="18"/>
                <w:szCs w:val="18"/>
                <w:lang w:val="en-US" w:eastAsia="en-US"/>
              </w:rPr>
              <w:t>∙ excess amounts of technical dispatching due to the increase in production of electric energy;</w:t>
            </w:r>
          </w:p>
          <w:p w:rsidR="00AD2D29" w:rsidRPr="001C40E9" w:rsidRDefault="00374FD0" w:rsidP="00374FD0">
            <w:pPr>
              <w:tabs>
                <w:tab w:val="left" w:pos="132"/>
                <w:tab w:val="left" w:pos="993"/>
              </w:tabs>
              <w:autoSpaceDE w:val="0"/>
              <w:autoSpaceDN w:val="0"/>
              <w:adjustRightInd w:val="0"/>
              <w:jc w:val="both"/>
              <w:rPr>
                <w:sz w:val="18"/>
                <w:szCs w:val="18"/>
                <w:lang w:val="en-US"/>
              </w:rPr>
            </w:pPr>
            <w:r w:rsidRPr="001C40E9">
              <w:rPr>
                <w:sz w:val="18"/>
                <w:szCs w:val="18"/>
                <w:lang w:val="en-US" w:eastAsia="en-US"/>
              </w:rPr>
              <w:t xml:space="preserve">∙ </w:t>
            </w:r>
            <w:proofErr w:type="gramStart"/>
            <w:r w:rsidRPr="001C40E9">
              <w:rPr>
                <w:sz w:val="18"/>
                <w:szCs w:val="18"/>
                <w:lang w:val="en-US" w:eastAsia="en-US"/>
              </w:rPr>
              <w:t>increase</w:t>
            </w:r>
            <w:proofErr w:type="gramEnd"/>
            <w:r w:rsidRPr="001C40E9">
              <w:rPr>
                <w:sz w:val="18"/>
                <w:szCs w:val="18"/>
                <w:lang w:val="en-US" w:eastAsia="en-US"/>
              </w:rPr>
              <w:t xml:space="preserve"> in the transit of electric power through networks for the UES of Russia.</w:t>
            </w:r>
          </w:p>
        </w:tc>
      </w:tr>
      <w:tr w:rsidR="00AD2D29" w:rsidRPr="001C40E9" w:rsidTr="00344B3E">
        <w:trPr>
          <w:trHeight w:val="228"/>
        </w:trPr>
        <w:tc>
          <w:tcPr>
            <w:tcW w:w="2438" w:type="dxa"/>
            <w:shd w:val="clear" w:color="auto" w:fill="auto"/>
          </w:tcPr>
          <w:p w:rsidR="00AD2D29" w:rsidRPr="001C40E9" w:rsidRDefault="00AD2D29" w:rsidP="00770BC8">
            <w:pPr>
              <w:rPr>
                <w:sz w:val="18"/>
                <w:szCs w:val="18"/>
              </w:rPr>
            </w:pPr>
            <w:proofErr w:type="spellStart"/>
            <w:r w:rsidRPr="001C40E9">
              <w:rPr>
                <w:sz w:val="18"/>
                <w:szCs w:val="18"/>
              </w:rPr>
              <w:t>Production</w:t>
            </w:r>
            <w:proofErr w:type="spellEnd"/>
            <w:r w:rsidRPr="001C40E9">
              <w:rPr>
                <w:sz w:val="18"/>
                <w:szCs w:val="18"/>
              </w:rPr>
              <w:t xml:space="preserve"> </w:t>
            </w:r>
            <w:proofErr w:type="spellStart"/>
            <w:r w:rsidRPr="001C40E9">
              <w:rPr>
                <w:sz w:val="18"/>
                <w:szCs w:val="18"/>
              </w:rPr>
              <w:t>of</w:t>
            </w:r>
            <w:proofErr w:type="spellEnd"/>
            <w:r w:rsidRPr="001C40E9">
              <w:rPr>
                <w:sz w:val="18"/>
                <w:szCs w:val="18"/>
              </w:rPr>
              <w:t xml:space="preserve"> </w:t>
            </w:r>
            <w:proofErr w:type="spellStart"/>
            <w:r w:rsidRPr="001C40E9">
              <w:rPr>
                <w:sz w:val="18"/>
                <w:szCs w:val="18"/>
              </w:rPr>
              <w:t>heat</w:t>
            </w:r>
            <w:proofErr w:type="spellEnd"/>
            <w:r w:rsidRPr="001C40E9">
              <w:rPr>
                <w:sz w:val="18"/>
                <w:szCs w:val="18"/>
              </w:rPr>
              <w:t xml:space="preserve"> </w:t>
            </w:r>
            <w:proofErr w:type="spellStart"/>
            <w:r w:rsidRPr="001C40E9">
              <w:rPr>
                <w:sz w:val="18"/>
                <w:szCs w:val="18"/>
              </w:rPr>
              <w:t>energy</w:t>
            </w:r>
            <w:proofErr w:type="spellEnd"/>
          </w:p>
        </w:tc>
        <w:tc>
          <w:tcPr>
            <w:tcW w:w="1045" w:type="dxa"/>
            <w:shd w:val="clear" w:color="auto" w:fill="auto"/>
            <w:vAlign w:val="center"/>
          </w:tcPr>
          <w:p w:rsidR="00AD2D29" w:rsidRPr="001C40E9" w:rsidRDefault="00AD2D29" w:rsidP="00770BC8">
            <w:pPr>
              <w:jc w:val="center"/>
              <w:rPr>
                <w:sz w:val="18"/>
                <w:szCs w:val="18"/>
              </w:rPr>
            </w:pPr>
            <w:proofErr w:type="spellStart"/>
            <w:r w:rsidRPr="001C40E9">
              <w:rPr>
                <w:sz w:val="18"/>
                <w:szCs w:val="18"/>
              </w:rPr>
              <w:t>thousand</w:t>
            </w:r>
            <w:proofErr w:type="spellEnd"/>
            <w:r w:rsidRPr="001C40E9">
              <w:rPr>
                <w:sz w:val="18"/>
                <w:szCs w:val="18"/>
              </w:rPr>
              <w:t xml:space="preserve"> </w:t>
            </w:r>
            <w:proofErr w:type="spellStart"/>
            <w:r w:rsidRPr="001C40E9">
              <w:rPr>
                <w:sz w:val="18"/>
                <w:szCs w:val="18"/>
              </w:rPr>
              <w:t>GCal</w:t>
            </w:r>
            <w:proofErr w:type="spellEnd"/>
          </w:p>
        </w:tc>
        <w:tc>
          <w:tcPr>
            <w:tcW w:w="965" w:type="dxa"/>
            <w:vAlign w:val="center"/>
          </w:tcPr>
          <w:p w:rsidR="00AD2D29" w:rsidRPr="001C40E9" w:rsidRDefault="00AD2D29" w:rsidP="000004EB">
            <w:pPr>
              <w:jc w:val="center"/>
              <w:rPr>
                <w:sz w:val="18"/>
                <w:szCs w:val="18"/>
              </w:rPr>
            </w:pPr>
            <w:r w:rsidRPr="001C40E9">
              <w:rPr>
                <w:sz w:val="18"/>
                <w:szCs w:val="18"/>
              </w:rPr>
              <w:t>4 3</w:t>
            </w:r>
            <w:r w:rsidR="000004EB">
              <w:rPr>
                <w:sz w:val="18"/>
                <w:szCs w:val="18"/>
              </w:rPr>
              <w:t>58</w:t>
            </w:r>
          </w:p>
        </w:tc>
        <w:tc>
          <w:tcPr>
            <w:tcW w:w="965" w:type="dxa"/>
            <w:vAlign w:val="center"/>
          </w:tcPr>
          <w:p w:rsidR="00AD2D29" w:rsidRPr="001C40E9" w:rsidRDefault="00AD2D29" w:rsidP="00300106">
            <w:pPr>
              <w:jc w:val="center"/>
              <w:rPr>
                <w:sz w:val="18"/>
                <w:szCs w:val="18"/>
              </w:rPr>
            </w:pPr>
            <w:r w:rsidRPr="001C40E9">
              <w:rPr>
                <w:sz w:val="18"/>
                <w:szCs w:val="18"/>
              </w:rPr>
              <w:t>4 431</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98</w:t>
            </w:r>
          </w:p>
        </w:tc>
        <w:tc>
          <w:tcPr>
            <w:tcW w:w="3376" w:type="dxa"/>
            <w:vMerge/>
          </w:tcPr>
          <w:p w:rsidR="00AD2D29" w:rsidRPr="001C40E9" w:rsidRDefault="00AD2D29" w:rsidP="00770BC8">
            <w:pPr>
              <w:rPr>
                <w:color w:val="000000"/>
                <w:sz w:val="18"/>
                <w:szCs w:val="18"/>
              </w:rPr>
            </w:pPr>
          </w:p>
        </w:tc>
      </w:tr>
      <w:tr w:rsidR="00AD2D29" w:rsidRPr="001C40E9" w:rsidTr="00344B3E">
        <w:trPr>
          <w:trHeight w:val="228"/>
        </w:trPr>
        <w:tc>
          <w:tcPr>
            <w:tcW w:w="2438" w:type="dxa"/>
            <w:shd w:val="clear" w:color="auto" w:fill="auto"/>
          </w:tcPr>
          <w:p w:rsidR="00AD2D29" w:rsidRPr="001C40E9" w:rsidRDefault="00AD2D29" w:rsidP="00770BC8">
            <w:pPr>
              <w:rPr>
                <w:sz w:val="18"/>
                <w:szCs w:val="18"/>
              </w:rPr>
            </w:pPr>
            <w:proofErr w:type="spellStart"/>
            <w:r w:rsidRPr="001C40E9">
              <w:rPr>
                <w:sz w:val="18"/>
                <w:szCs w:val="18"/>
              </w:rPr>
              <w:t>Production</w:t>
            </w:r>
            <w:proofErr w:type="spellEnd"/>
            <w:r w:rsidRPr="001C40E9">
              <w:rPr>
                <w:sz w:val="18"/>
                <w:szCs w:val="18"/>
              </w:rPr>
              <w:t xml:space="preserve"> </w:t>
            </w:r>
            <w:proofErr w:type="spellStart"/>
            <w:r w:rsidRPr="001C40E9">
              <w:rPr>
                <w:sz w:val="18"/>
                <w:szCs w:val="18"/>
              </w:rPr>
              <w:t>of</w:t>
            </w:r>
            <w:proofErr w:type="spellEnd"/>
            <w:r w:rsidRPr="001C40E9">
              <w:rPr>
                <w:sz w:val="18"/>
                <w:szCs w:val="18"/>
              </w:rPr>
              <w:t xml:space="preserve"> </w:t>
            </w:r>
            <w:r w:rsidRPr="001C40E9">
              <w:rPr>
                <w:sz w:val="18"/>
                <w:szCs w:val="18"/>
                <w:lang w:val="en-US"/>
              </w:rPr>
              <w:t>electric power</w:t>
            </w:r>
          </w:p>
        </w:tc>
        <w:tc>
          <w:tcPr>
            <w:tcW w:w="1045" w:type="dxa"/>
            <w:shd w:val="clear" w:color="auto" w:fill="auto"/>
            <w:vAlign w:val="center"/>
          </w:tcPr>
          <w:p w:rsidR="00AD2D29" w:rsidRPr="001C40E9" w:rsidRDefault="00AD2D29" w:rsidP="00770BC8">
            <w:pPr>
              <w:jc w:val="center"/>
              <w:rPr>
                <w:sz w:val="18"/>
                <w:szCs w:val="18"/>
              </w:rPr>
            </w:pPr>
            <w:proofErr w:type="spellStart"/>
            <w:r w:rsidRPr="001C40E9">
              <w:rPr>
                <w:sz w:val="18"/>
                <w:szCs w:val="18"/>
              </w:rPr>
              <w:t>thousand</w:t>
            </w:r>
            <w:proofErr w:type="spellEnd"/>
            <w:r w:rsidRPr="001C40E9">
              <w:rPr>
                <w:sz w:val="18"/>
                <w:szCs w:val="18"/>
              </w:rPr>
              <w:t xml:space="preserve"> </w:t>
            </w:r>
            <w:r w:rsidR="000004EB" w:rsidRPr="001C40E9">
              <w:rPr>
                <w:sz w:val="18"/>
                <w:szCs w:val="18"/>
                <w:lang w:val="en-US"/>
              </w:rPr>
              <w:t>kWh</w:t>
            </w:r>
          </w:p>
        </w:tc>
        <w:tc>
          <w:tcPr>
            <w:tcW w:w="965" w:type="dxa"/>
            <w:vAlign w:val="center"/>
          </w:tcPr>
          <w:p w:rsidR="00AD2D29" w:rsidRPr="001C40E9" w:rsidRDefault="00AD2D29" w:rsidP="000004EB">
            <w:pPr>
              <w:jc w:val="center"/>
              <w:rPr>
                <w:sz w:val="18"/>
                <w:szCs w:val="18"/>
              </w:rPr>
            </w:pPr>
            <w:r w:rsidRPr="001C40E9">
              <w:rPr>
                <w:sz w:val="18"/>
                <w:szCs w:val="18"/>
              </w:rPr>
              <w:t>7 59</w:t>
            </w:r>
            <w:r w:rsidR="000004EB">
              <w:rPr>
                <w:sz w:val="18"/>
                <w:szCs w:val="18"/>
              </w:rPr>
              <w:t>9</w:t>
            </w:r>
          </w:p>
        </w:tc>
        <w:tc>
          <w:tcPr>
            <w:tcW w:w="965" w:type="dxa"/>
            <w:vAlign w:val="center"/>
          </w:tcPr>
          <w:p w:rsidR="00AD2D29" w:rsidRPr="001C40E9" w:rsidRDefault="00AD2D29" w:rsidP="00300106">
            <w:pPr>
              <w:jc w:val="center"/>
              <w:rPr>
                <w:sz w:val="18"/>
                <w:szCs w:val="18"/>
              </w:rPr>
            </w:pPr>
            <w:r w:rsidRPr="001C40E9">
              <w:rPr>
                <w:sz w:val="18"/>
                <w:szCs w:val="18"/>
              </w:rPr>
              <w:t>7 042</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108</w:t>
            </w:r>
          </w:p>
        </w:tc>
        <w:tc>
          <w:tcPr>
            <w:tcW w:w="3376" w:type="dxa"/>
            <w:vMerge/>
          </w:tcPr>
          <w:p w:rsidR="00AD2D29" w:rsidRPr="001C40E9" w:rsidRDefault="00AD2D29" w:rsidP="00770BC8">
            <w:pPr>
              <w:pStyle w:val="a3"/>
              <w:ind w:left="133"/>
              <w:rPr>
                <w:color w:val="000000"/>
                <w:sz w:val="18"/>
                <w:szCs w:val="18"/>
              </w:rPr>
            </w:pPr>
          </w:p>
        </w:tc>
      </w:tr>
      <w:tr w:rsidR="00AD2D29" w:rsidRPr="001C40E9" w:rsidTr="00344B3E">
        <w:trPr>
          <w:trHeight w:val="228"/>
        </w:trPr>
        <w:tc>
          <w:tcPr>
            <w:tcW w:w="2438" w:type="dxa"/>
            <w:shd w:val="clear" w:color="auto" w:fill="auto"/>
          </w:tcPr>
          <w:p w:rsidR="00AD2D29" w:rsidRPr="001C40E9" w:rsidRDefault="00AD2D29" w:rsidP="00770BC8">
            <w:pPr>
              <w:rPr>
                <w:sz w:val="18"/>
                <w:szCs w:val="18"/>
                <w:lang w:val="en-US"/>
              </w:rPr>
            </w:pPr>
            <w:r w:rsidRPr="001C40E9">
              <w:rPr>
                <w:sz w:val="18"/>
                <w:szCs w:val="18"/>
                <w:lang w:val="en-US"/>
              </w:rPr>
              <w:t>Providing services for power transmission</w:t>
            </w:r>
          </w:p>
        </w:tc>
        <w:tc>
          <w:tcPr>
            <w:tcW w:w="1045" w:type="dxa"/>
            <w:shd w:val="clear" w:color="auto" w:fill="auto"/>
            <w:vAlign w:val="center"/>
          </w:tcPr>
          <w:p w:rsidR="00AD2D29" w:rsidRPr="001C40E9" w:rsidRDefault="00AD2D29" w:rsidP="00770BC8">
            <w:pPr>
              <w:jc w:val="center"/>
              <w:rPr>
                <w:sz w:val="18"/>
                <w:szCs w:val="18"/>
              </w:rPr>
            </w:pPr>
            <w:proofErr w:type="spellStart"/>
            <w:r w:rsidRPr="001C40E9">
              <w:rPr>
                <w:sz w:val="18"/>
                <w:szCs w:val="18"/>
              </w:rPr>
              <w:t>million</w:t>
            </w:r>
            <w:proofErr w:type="spellEnd"/>
            <w:r w:rsidRPr="001C40E9">
              <w:rPr>
                <w:sz w:val="18"/>
                <w:szCs w:val="18"/>
              </w:rPr>
              <w:t xml:space="preserve"> </w:t>
            </w:r>
            <w:proofErr w:type="spellStart"/>
            <w:r w:rsidRPr="001C40E9">
              <w:rPr>
                <w:sz w:val="18"/>
                <w:szCs w:val="18"/>
              </w:rPr>
              <w:t>kWh</w:t>
            </w:r>
            <w:proofErr w:type="spellEnd"/>
          </w:p>
        </w:tc>
        <w:tc>
          <w:tcPr>
            <w:tcW w:w="965" w:type="dxa"/>
            <w:vAlign w:val="center"/>
          </w:tcPr>
          <w:p w:rsidR="00AD2D29" w:rsidRPr="001C40E9" w:rsidRDefault="00AD2D29" w:rsidP="00300106">
            <w:pPr>
              <w:jc w:val="center"/>
              <w:rPr>
                <w:sz w:val="18"/>
                <w:szCs w:val="18"/>
              </w:rPr>
            </w:pPr>
            <w:r w:rsidRPr="001C40E9">
              <w:rPr>
                <w:sz w:val="18"/>
                <w:szCs w:val="18"/>
              </w:rPr>
              <w:t>4 219</w:t>
            </w:r>
          </w:p>
        </w:tc>
        <w:tc>
          <w:tcPr>
            <w:tcW w:w="965" w:type="dxa"/>
            <w:vAlign w:val="center"/>
          </w:tcPr>
          <w:p w:rsidR="00AD2D29" w:rsidRPr="001C40E9" w:rsidRDefault="00AD2D29" w:rsidP="00300106">
            <w:pPr>
              <w:jc w:val="center"/>
              <w:rPr>
                <w:sz w:val="18"/>
                <w:szCs w:val="18"/>
              </w:rPr>
            </w:pPr>
            <w:r w:rsidRPr="001C40E9">
              <w:rPr>
                <w:sz w:val="18"/>
                <w:szCs w:val="18"/>
              </w:rPr>
              <w:t>4 025</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105</w:t>
            </w:r>
          </w:p>
        </w:tc>
        <w:tc>
          <w:tcPr>
            <w:tcW w:w="3376" w:type="dxa"/>
            <w:vMerge/>
          </w:tcPr>
          <w:p w:rsidR="00AD2D29" w:rsidRPr="001C40E9" w:rsidRDefault="00AD2D29" w:rsidP="00770BC8">
            <w:pPr>
              <w:rPr>
                <w:color w:val="000000"/>
                <w:sz w:val="18"/>
                <w:szCs w:val="18"/>
              </w:rPr>
            </w:pPr>
          </w:p>
        </w:tc>
      </w:tr>
      <w:tr w:rsidR="00AD2D29" w:rsidRPr="001C40E9" w:rsidTr="00344B3E">
        <w:trPr>
          <w:trHeight w:val="228"/>
        </w:trPr>
        <w:tc>
          <w:tcPr>
            <w:tcW w:w="2438" w:type="dxa"/>
            <w:shd w:val="clear" w:color="auto" w:fill="auto"/>
          </w:tcPr>
          <w:p w:rsidR="00AD2D29" w:rsidRPr="001C40E9" w:rsidRDefault="00AD2D29" w:rsidP="00770BC8">
            <w:pPr>
              <w:rPr>
                <w:sz w:val="18"/>
                <w:szCs w:val="18"/>
              </w:rPr>
            </w:pPr>
            <w:r w:rsidRPr="001C40E9">
              <w:rPr>
                <w:sz w:val="18"/>
                <w:szCs w:val="18"/>
                <w:lang w:val="en-US"/>
              </w:rPr>
              <w:t>P</w:t>
            </w:r>
            <w:proofErr w:type="spellStart"/>
            <w:r w:rsidRPr="001C40E9">
              <w:rPr>
                <w:sz w:val="18"/>
                <w:szCs w:val="18"/>
              </w:rPr>
              <w:t>ower</w:t>
            </w:r>
            <w:proofErr w:type="spellEnd"/>
            <w:r w:rsidRPr="001C40E9">
              <w:rPr>
                <w:sz w:val="18"/>
                <w:szCs w:val="18"/>
              </w:rPr>
              <w:t xml:space="preserve"> </w:t>
            </w:r>
            <w:proofErr w:type="spellStart"/>
            <w:r w:rsidRPr="001C40E9">
              <w:rPr>
                <w:sz w:val="18"/>
                <w:szCs w:val="18"/>
              </w:rPr>
              <w:t>transmission</w:t>
            </w:r>
            <w:proofErr w:type="spellEnd"/>
          </w:p>
        </w:tc>
        <w:tc>
          <w:tcPr>
            <w:tcW w:w="1045" w:type="dxa"/>
            <w:shd w:val="clear" w:color="auto" w:fill="auto"/>
            <w:vAlign w:val="center"/>
          </w:tcPr>
          <w:p w:rsidR="00AD2D29" w:rsidRPr="001C40E9" w:rsidRDefault="00AD2D29" w:rsidP="00770BC8">
            <w:pPr>
              <w:jc w:val="center"/>
              <w:rPr>
                <w:sz w:val="18"/>
                <w:szCs w:val="18"/>
              </w:rPr>
            </w:pPr>
            <w:r w:rsidRPr="001C40E9">
              <w:rPr>
                <w:sz w:val="18"/>
                <w:szCs w:val="18"/>
                <w:lang w:val="en-US"/>
              </w:rPr>
              <w:t>billion</w:t>
            </w:r>
            <w:r w:rsidRPr="001C40E9">
              <w:rPr>
                <w:sz w:val="18"/>
                <w:szCs w:val="18"/>
              </w:rPr>
              <w:t xml:space="preserve"> </w:t>
            </w:r>
            <w:proofErr w:type="spellStart"/>
            <w:r w:rsidRPr="001C40E9">
              <w:rPr>
                <w:sz w:val="18"/>
                <w:szCs w:val="18"/>
              </w:rPr>
              <w:t>kWh</w:t>
            </w:r>
            <w:proofErr w:type="spellEnd"/>
          </w:p>
        </w:tc>
        <w:tc>
          <w:tcPr>
            <w:tcW w:w="965" w:type="dxa"/>
            <w:vAlign w:val="center"/>
          </w:tcPr>
          <w:p w:rsidR="00AD2D29" w:rsidRPr="001C40E9" w:rsidRDefault="00AD2D29" w:rsidP="00300106">
            <w:pPr>
              <w:jc w:val="center"/>
              <w:rPr>
                <w:sz w:val="18"/>
                <w:szCs w:val="18"/>
              </w:rPr>
            </w:pPr>
            <w:r w:rsidRPr="001C40E9">
              <w:rPr>
                <w:sz w:val="18"/>
                <w:szCs w:val="18"/>
              </w:rPr>
              <w:t>20,8</w:t>
            </w:r>
          </w:p>
        </w:tc>
        <w:tc>
          <w:tcPr>
            <w:tcW w:w="965" w:type="dxa"/>
            <w:vAlign w:val="center"/>
          </w:tcPr>
          <w:p w:rsidR="00AD2D29" w:rsidRPr="001C40E9" w:rsidRDefault="00AD2D29" w:rsidP="00300106">
            <w:pPr>
              <w:jc w:val="center"/>
              <w:rPr>
                <w:sz w:val="18"/>
                <w:szCs w:val="18"/>
              </w:rPr>
            </w:pPr>
            <w:r w:rsidRPr="001C40E9">
              <w:rPr>
                <w:sz w:val="18"/>
                <w:szCs w:val="18"/>
              </w:rPr>
              <w:t>20,2</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103</w:t>
            </w:r>
          </w:p>
        </w:tc>
        <w:tc>
          <w:tcPr>
            <w:tcW w:w="3376" w:type="dxa"/>
            <w:vMerge/>
          </w:tcPr>
          <w:p w:rsidR="00AD2D29" w:rsidRPr="001C40E9" w:rsidRDefault="00AD2D29" w:rsidP="00770BC8">
            <w:pPr>
              <w:rPr>
                <w:color w:val="000000"/>
                <w:sz w:val="18"/>
                <w:szCs w:val="18"/>
              </w:rPr>
            </w:pPr>
          </w:p>
        </w:tc>
      </w:tr>
      <w:tr w:rsidR="00AD2D29" w:rsidRPr="001C40E9" w:rsidTr="00344B3E">
        <w:trPr>
          <w:trHeight w:val="228"/>
        </w:trPr>
        <w:tc>
          <w:tcPr>
            <w:tcW w:w="2438" w:type="dxa"/>
            <w:shd w:val="clear" w:color="auto" w:fill="auto"/>
          </w:tcPr>
          <w:p w:rsidR="00AD2D29" w:rsidRPr="001C40E9" w:rsidRDefault="00AD2D29" w:rsidP="00770BC8">
            <w:pPr>
              <w:rPr>
                <w:sz w:val="18"/>
                <w:szCs w:val="18"/>
              </w:rPr>
            </w:pPr>
            <w:proofErr w:type="spellStart"/>
            <w:r w:rsidRPr="001C40E9">
              <w:rPr>
                <w:sz w:val="18"/>
                <w:szCs w:val="18"/>
              </w:rPr>
              <w:t>Technical</w:t>
            </w:r>
            <w:proofErr w:type="spellEnd"/>
            <w:r w:rsidRPr="001C40E9">
              <w:rPr>
                <w:sz w:val="18"/>
                <w:szCs w:val="18"/>
              </w:rPr>
              <w:t xml:space="preserve"> </w:t>
            </w:r>
            <w:proofErr w:type="spellStart"/>
            <w:r w:rsidRPr="001C40E9">
              <w:rPr>
                <w:sz w:val="18"/>
                <w:szCs w:val="18"/>
              </w:rPr>
              <w:t>dispatching</w:t>
            </w:r>
            <w:proofErr w:type="spellEnd"/>
          </w:p>
        </w:tc>
        <w:tc>
          <w:tcPr>
            <w:tcW w:w="1045" w:type="dxa"/>
            <w:shd w:val="clear" w:color="auto" w:fill="auto"/>
          </w:tcPr>
          <w:p w:rsidR="00AD2D29" w:rsidRPr="001C40E9" w:rsidRDefault="00AD2D29" w:rsidP="00770BC8">
            <w:pPr>
              <w:rPr>
                <w:sz w:val="18"/>
                <w:szCs w:val="18"/>
              </w:rPr>
            </w:pPr>
            <w:r w:rsidRPr="001C40E9">
              <w:rPr>
                <w:sz w:val="18"/>
                <w:szCs w:val="18"/>
                <w:lang w:val="en-US"/>
              </w:rPr>
              <w:t>billion</w:t>
            </w:r>
            <w:r w:rsidRPr="001C40E9">
              <w:rPr>
                <w:sz w:val="18"/>
                <w:szCs w:val="18"/>
              </w:rPr>
              <w:t xml:space="preserve"> </w:t>
            </w:r>
            <w:proofErr w:type="spellStart"/>
            <w:r w:rsidRPr="001C40E9">
              <w:rPr>
                <w:sz w:val="18"/>
                <w:szCs w:val="18"/>
              </w:rPr>
              <w:t>kWh</w:t>
            </w:r>
            <w:proofErr w:type="spellEnd"/>
          </w:p>
        </w:tc>
        <w:tc>
          <w:tcPr>
            <w:tcW w:w="965" w:type="dxa"/>
            <w:vAlign w:val="center"/>
          </w:tcPr>
          <w:p w:rsidR="00AD2D29" w:rsidRPr="001C40E9" w:rsidRDefault="00AD2D29" w:rsidP="00300106">
            <w:pPr>
              <w:jc w:val="center"/>
              <w:rPr>
                <w:sz w:val="18"/>
                <w:szCs w:val="18"/>
              </w:rPr>
            </w:pPr>
            <w:r w:rsidRPr="001C40E9">
              <w:rPr>
                <w:sz w:val="18"/>
                <w:szCs w:val="18"/>
              </w:rPr>
              <w:t>41,8</w:t>
            </w:r>
          </w:p>
        </w:tc>
        <w:tc>
          <w:tcPr>
            <w:tcW w:w="965" w:type="dxa"/>
            <w:vAlign w:val="center"/>
          </w:tcPr>
          <w:p w:rsidR="00AD2D29" w:rsidRPr="001C40E9" w:rsidRDefault="00AD2D29" w:rsidP="00300106">
            <w:pPr>
              <w:jc w:val="center"/>
              <w:rPr>
                <w:sz w:val="18"/>
                <w:szCs w:val="18"/>
              </w:rPr>
            </w:pPr>
            <w:r w:rsidRPr="001C40E9">
              <w:rPr>
                <w:sz w:val="18"/>
                <w:szCs w:val="18"/>
              </w:rPr>
              <w:t>40,8</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102</w:t>
            </w:r>
          </w:p>
        </w:tc>
        <w:tc>
          <w:tcPr>
            <w:tcW w:w="3376" w:type="dxa"/>
            <w:vMerge/>
          </w:tcPr>
          <w:p w:rsidR="00AD2D29" w:rsidRPr="001C40E9" w:rsidRDefault="00AD2D29" w:rsidP="00770BC8">
            <w:pPr>
              <w:rPr>
                <w:color w:val="000000"/>
                <w:sz w:val="18"/>
                <w:szCs w:val="18"/>
              </w:rPr>
            </w:pPr>
          </w:p>
        </w:tc>
      </w:tr>
      <w:tr w:rsidR="00AD2D29" w:rsidRPr="001C40E9" w:rsidTr="00344B3E">
        <w:trPr>
          <w:trHeight w:val="1588"/>
        </w:trPr>
        <w:tc>
          <w:tcPr>
            <w:tcW w:w="2438" w:type="dxa"/>
            <w:shd w:val="clear" w:color="auto" w:fill="auto"/>
            <w:vAlign w:val="center"/>
          </w:tcPr>
          <w:p w:rsidR="00AD2D29" w:rsidRPr="001C40E9" w:rsidRDefault="00AD2D29" w:rsidP="00770BC8">
            <w:pPr>
              <w:ind w:right="502"/>
              <w:rPr>
                <w:sz w:val="18"/>
                <w:szCs w:val="18"/>
                <w:lang w:val="en-US"/>
              </w:rPr>
            </w:pPr>
            <w:r w:rsidRPr="001C40E9">
              <w:rPr>
                <w:sz w:val="18"/>
                <w:szCs w:val="18"/>
                <w:lang w:val="en-US"/>
              </w:rPr>
              <w:t>Organization of balancing production and consumption of electric power</w:t>
            </w:r>
          </w:p>
        </w:tc>
        <w:tc>
          <w:tcPr>
            <w:tcW w:w="1045" w:type="dxa"/>
            <w:shd w:val="clear" w:color="auto" w:fill="auto"/>
          </w:tcPr>
          <w:p w:rsidR="00AD2D29" w:rsidRPr="001C40E9" w:rsidRDefault="00AD2D29" w:rsidP="00770BC8">
            <w:pPr>
              <w:rPr>
                <w:sz w:val="18"/>
                <w:szCs w:val="18"/>
              </w:rPr>
            </w:pPr>
            <w:r w:rsidRPr="001C40E9">
              <w:rPr>
                <w:sz w:val="18"/>
                <w:szCs w:val="18"/>
                <w:lang w:val="en-US"/>
              </w:rPr>
              <w:t>billion</w:t>
            </w:r>
            <w:r w:rsidRPr="001C40E9">
              <w:rPr>
                <w:sz w:val="18"/>
                <w:szCs w:val="18"/>
              </w:rPr>
              <w:t xml:space="preserve"> </w:t>
            </w:r>
            <w:proofErr w:type="spellStart"/>
            <w:r w:rsidRPr="001C40E9">
              <w:rPr>
                <w:sz w:val="18"/>
                <w:szCs w:val="18"/>
              </w:rPr>
              <w:t>kWh</w:t>
            </w:r>
            <w:proofErr w:type="spellEnd"/>
          </w:p>
        </w:tc>
        <w:tc>
          <w:tcPr>
            <w:tcW w:w="965" w:type="dxa"/>
            <w:vAlign w:val="center"/>
          </w:tcPr>
          <w:p w:rsidR="00AD2D29" w:rsidRPr="001C40E9" w:rsidRDefault="00AD2D29" w:rsidP="00300106">
            <w:pPr>
              <w:jc w:val="center"/>
              <w:rPr>
                <w:sz w:val="18"/>
                <w:szCs w:val="18"/>
              </w:rPr>
            </w:pPr>
            <w:r w:rsidRPr="001C40E9">
              <w:rPr>
                <w:sz w:val="18"/>
                <w:szCs w:val="18"/>
              </w:rPr>
              <w:t>78,4</w:t>
            </w:r>
          </w:p>
        </w:tc>
        <w:tc>
          <w:tcPr>
            <w:tcW w:w="965" w:type="dxa"/>
            <w:vAlign w:val="center"/>
          </w:tcPr>
          <w:p w:rsidR="00AD2D29" w:rsidRPr="001C40E9" w:rsidRDefault="00AD2D29" w:rsidP="00300106">
            <w:pPr>
              <w:jc w:val="center"/>
              <w:rPr>
                <w:sz w:val="18"/>
                <w:szCs w:val="18"/>
              </w:rPr>
            </w:pPr>
            <w:r w:rsidRPr="001C40E9">
              <w:rPr>
                <w:sz w:val="18"/>
                <w:szCs w:val="18"/>
              </w:rPr>
              <w:t>73,3</w:t>
            </w:r>
          </w:p>
        </w:tc>
        <w:tc>
          <w:tcPr>
            <w:tcW w:w="981" w:type="dxa"/>
            <w:vAlign w:val="center"/>
          </w:tcPr>
          <w:p w:rsidR="00AD2D29" w:rsidRPr="001C40E9" w:rsidRDefault="00AD2D29" w:rsidP="00300106">
            <w:pPr>
              <w:jc w:val="center"/>
              <w:rPr>
                <w:color w:val="000000"/>
                <w:sz w:val="18"/>
                <w:szCs w:val="18"/>
              </w:rPr>
            </w:pPr>
            <w:r w:rsidRPr="001C40E9">
              <w:rPr>
                <w:color w:val="000000"/>
                <w:sz w:val="18"/>
                <w:szCs w:val="18"/>
              </w:rPr>
              <w:t>107</w:t>
            </w:r>
          </w:p>
        </w:tc>
        <w:tc>
          <w:tcPr>
            <w:tcW w:w="3376" w:type="dxa"/>
            <w:vMerge/>
          </w:tcPr>
          <w:p w:rsidR="00AD2D29" w:rsidRPr="001C40E9" w:rsidRDefault="00AD2D29" w:rsidP="00770BC8">
            <w:pPr>
              <w:rPr>
                <w:color w:val="000000"/>
                <w:sz w:val="18"/>
                <w:szCs w:val="18"/>
              </w:rPr>
            </w:pPr>
          </w:p>
        </w:tc>
      </w:tr>
      <w:tr w:rsidR="00AD2D29" w:rsidRPr="00B5391C" w:rsidTr="00344B3E">
        <w:trPr>
          <w:trHeight w:val="228"/>
        </w:trPr>
        <w:tc>
          <w:tcPr>
            <w:tcW w:w="2438" w:type="dxa"/>
            <w:shd w:val="clear" w:color="auto" w:fill="auto"/>
            <w:vAlign w:val="center"/>
          </w:tcPr>
          <w:p w:rsidR="00AD2D29" w:rsidRPr="001C40E9" w:rsidRDefault="00AD2D29" w:rsidP="00770BC8">
            <w:pPr>
              <w:rPr>
                <w:sz w:val="18"/>
                <w:szCs w:val="18"/>
                <w:lang w:val="en-US"/>
              </w:rPr>
            </w:pPr>
            <w:r w:rsidRPr="001C40E9">
              <w:rPr>
                <w:sz w:val="18"/>
                <w:szCs w:val="18"/>
                <w:lang w:val="en-US"/>
              </w:rPr>
              <w:t>SAIDI</w:t>
            </w:r>
            <w:r w:rsidR="00816A2B" w:rsidRPr="001C40E9">
              <w:rPr>
                <w:sz w:val="18"/>
                <w:szCs w:val="18"/>
                <w:lang w:val="en-US"/>
              </w:rPr>
              <w:t xml:space="preserve"> the average outage duration for each customer served</w:t>
            </w:r>
          </w:p>
        </w:tc>
        <w:tc>
          <w:tcPr>
            <w:tcW w:w="1045" w:type="dxa"/>
            <w:shd w:val="clear" w:color="auto" w:fill="auto"/>
            <w:vAlign w:val="center"/>
          </w:tcPr>
          <w:p w:rsidR="00AD2D29" w:rsidRPr="001C40E9" w:rsidRDefault="00AD2D29" w:rsidP="00770BC8">
            <w:pPr>
              <w:jc w:val="center"/>
              <w:rPr>
                <w:sz w:val="18"/>
                <w:szCs w:val="18"/>
                <w:lang w:val="en-US"/>
              </w:rPr>
            </w:pPr>
            <w:r w:rsidRPr="001C40E9">
              <w:rPr>
                <w:sz w:val="18"/>
                <w:szCs w:val="18"/>
                <w:lang w:val="en-US"/>
              </w:rPr>
              <w:t>Min/year</w:t>
            </w:r>
          </w:p>
        </w:tc>
        <w:tc>
          <w:tcPr>
            <w:tcW w:w="965" w:type="dxa"/>
            <w:vAlign w:val="center"/>
          </w:tcPr>
          <w:p w:rsidR="00AD2D29" w:rsidRPr="001C40E9" w:rsidRDefault="00AD2D29" w:rsidP="00300106">
            <w:pPr>
              <w:jc w:val="center"/>
              <w:rPr>
                <w:sz w:val="18"/>
                <w:szCs w:val="18"/>
              </w:rPr>
            </w:pPr>
            <w:r w:rsidRPr="001C40E9">
              <w:rPr>
                <w:sz w:val="18"/>
                <w:szCs w:val="18"/>
              </w:rPr>
              <w:t>0,63</w:t>
            </w:r>
          </w:p>
        </w:tc>
        <w:tc>
          <w:tcPr>
            <w:tcW w:w="965" w:type="dxa"/>
            <w:vAlign w:val="center"/>
          </w:tcPr>
          <w:p w:rsidR="00AD2D29" w:rsidRPr="001C40E9" w:rsidRDefault="00AD2D29" w:rsidP="00300106">
            <w:pPr>
              <w:jc w:val="center"/>
              <w:rPr>
                <w:sz w:val="18"/>
                <w:szCs w:val="18"/>
              </w:rPr>
            </w:pPr>
            <w:r w:rsidRPr="001C40E9">
              <w:rPr>
                <w:sz w:val="18"/>
                <w:szCs w:val="18"/>
              </w:rPr>
              <w:t>0,68</w:t>
            </w:r>
          </w:p>
        </w:tc>
        <w:tc>
          <w:tcPr>
            <w:tcW w:w="981" w:type="dxa"/>
            <w:vAlign w:val="center"/>
          </w:tcPr>
          <w:p w:rsidR="00AD2D29" w:rsidRPr="001C40E9" w:rsidRDefault="00AD2D29" w:rsidP="00300106">
            <w:pPr>
              <w:jc w:val="center"/>
              <w:rPr>
                <w:sz w:val="18"/>
                <w:szCs w:val="18"/>
              </w:rPr>
            </w:pPr>
            <w:r w:rsidRPr="001C40E9">
              <w:rPr>
                <w:sz w:val="18"/>
                <w:szCs w:val="18"/>
              </w:rPr>
              <w:t>93</w:t>
            </w:r>
          </w:p>
        </w:tc>
        <w:tc>
          <w:tcPr>
            <w:tcW w:w="3376" w:type="dxa"/>
          </w:tcPr>
          <w:p w:rsidR="00AD2D29" w:rsidRPr="001C40E9" w:rsidRDefault="001C40E9" w:rsidP="00670B74">
            <w:pPr>
              <w:rPr>
                <w:sz w:val="18"/>
                <w:szCs w:val="18"/>
                <w:lang w:val="en-US"/>
              </w:rPr>
            </w:pPr>
            <w:proofErr w:type="gramStart"/>
            <w:r>
              <w:rPr>
                <w:sz w:val="18"/>
                <w:szCs w:val="18"/>
                <w:lang w:val="en-US" w:eastAsia="en-US"/>
              </w:rPr>
              <w:t>t</w:t>
            </w:r>
            <w:r w:rsidRPr="001C40E9">
              <w:rPr>
                <w:sz w:val="18"/>
                <w:szCs w:val="18"/>
                <w:lang w:val="en-US" w:eastAsia="en-US"/>
              </w:rPr>
              <w:t>he</w:t>
            </w:r>
            <w:proofErr w:type="gramEnd"/>
            <w:r w:rsidRPr="001C40E9">
              <w:rPr>
                <w:sz w:val="18"/>
                <w:szCs w:val="18"/>
                <w:lang w:val="en-US" w:eastAsia="en-US"/>
              </w:rPr>
              <w:t xml:space="preserve"> indicator is improved due to lower number of consumers affected by power interruption from 17 to 5 and decrease in the duration of power interruption of customers from 329 to 305 minutes.</w:t>
            </w:r>
          </w:p>
        </w:tc>
      </w:tr>
      <w:tr w:rsidR="00AD2D29" w:rsidRPr="00B5391C" w:rsidTr="00344B3E">
        <w:trPr>
          <w:trHeight w:val="228"/>
        </w:trPr>
        <w:tc>
          <w:tcPr>
            <w:tcW w:w="2438" w:type="dxa"/>
            <w:shd w:val="clear" w:color="auto" w:fill="auto"/>
            <w:vAlign w:val="center"/>
          </w:tcPr>
          <w:p w:rsidR="00AD2D29" w:rsidRPr="001C40E9" w:rsidRDefault="00AD2D29" w:rsidP="00770BC8">
            <w:pPr>
              <w:rPr>
                <w:sz w:val="18"/>
                <w:szCs w:val="18"/>
                <w:lang w:val="en-US"/>
              </w:rPr>
            </w:pPr>
            <w:r w:rsidRPr="001C40E9">
              <w:rPr>
                <w:sz w:val="18"/>
                <w:szCs w:val="18"/>
                <w:lang w:val="en-US"/>
              </w:rPr>
              <w:t>SAIFI</w:t>
            </w:r>
            <w:r w:rsidR="00816A2B" w:rsidRPr="001C40E9">
              <w:rPr>
                <w:sz w:val="18"/>
                <w:szCs w:val="18"/>
                <w:lang w:val="en-US"/>
              </w:rPr>
              <w:t xml:space="preserve"> the average number of interruptions that a customer would experience</w:t>
            </w:r>
          </w:p>
        </w:tc>
        <w:tc>
          <w:tcPr>
            <w:tcW w:w="1045" w:type="dxa"/>
            <w:shd w:val="clear" w:color="auto" w:fill="auto"/>
            <w:vAlign w:val="center"/>
          </w:tcPr>
          <w:p w:rsidR="00AD2D29" w:rsidRPr="001C40E9" w:rsidRDefault="00AD2D29" w:rsidP="00770BC8">
            <w:pPr>
              <w:jc w:val="center"/>
              <w:rPr>
                <w:sz w:val="18"/>
                <w:szCs w:val="18"/>
                <w:lang w:val="en-US"/>
              </w:rPr>
            </w:pPr>
          </w:p>
        </w:tc>
        <w:tc>
          <w:tcPr>
            <w:tcW w:w="965" w:type="dxa"/>
            <w:vAlign w:val="center"/>
          </w:tcPr>
          <w:p w:rsidR="00AD2D29" w:rsidRPr="001C40E9" w:rsidRDefault="00AD2D29" w:rsidP="00300106">
            <w:pPr>
              <w:jc w:val="center"/>
              <w:rPr>
                <w:sz w:val="18"/>
                <w:szCs w:val="18"/>
              </w:rPr>
            </w:pPr>
            <w:r w:rsidRPr="001C40E9">
              <w:rPr>
                <w:sz w:val="18"/>
                <w:szCs w:val="18"/>
              </w:rPr>
              <w:t>0,10</w:t>
            </w:r>
          </w:p>
        </w:tc>
        <w:tc>
          <w:tcPr>
            <w:tcW w:w="965" w:type="dxa"/>
            <w:vAlign w:val="center"/>
          </w:tcPr>
          <w:p w:rsidR="00AD2D29" w:rsidRPr="001C40E9" w:rsidRDefault="00AD2D29" w:rsidP="00300106">
            <w:pPr>
              <w:jc w:val="center"/>
              <w:rPr>
                <w:sz w:val="18"/>
                <w:szCs w:val="18"/>
              </w:rPr>
            </w:pPr>
            <w:r w:rsidRPr="001C40E9">
              <w:rPr>
                <w:sz w:val="18"/>
                <w:szCs w:val="18"/>
              </w:rPr>
              <w:t>0,035</w:t>
            </w:r>
          </w:p>
        </w:tc>
        <w:tc>
          <w:tcPr>
            <w:tcW w:w="981" w:type="dxa"/>
            <w:vAlign w:val="center"/>
          </w:tcPr>
          <w:p w:rsidR="00AD2D29" w:rsidRPr="001C40E9" w:rsidRDefault="00AD2D29" w:rsidP="00300106">
            <w:pPr>
              <w:jc w:val="center"/>
              <w:rPr>
                <w:sz w:val="18"/>
                <w:szCs w:val="18"/>
              </w:rPr>
            </w:pPr>
            <w:r w:rsidRPr="001C40E9">
              <w:rPr>
                <w:sz w:val="18"/>
                <w:szCs w:val="18"/>
              </w:rPr>
              <w:t>29</w:t>
            </w:r>
          </w:p>
        </w:tc>
        <w:tc>
          <w:tcPr>
            <w:tcW w:w="3376" w:type="dxa"/>
          </w:tcPr>
          <w:p w:rsidR="00AD2D29" w:rsidRPr="001C40E9" w:rsidRDefault="001C40E9" w:rsidP="00670B74">
            <w:pPr>
              <w:rPr>
                <w:sz w:val="18"/>
                <w:szCs w:val="18"/>
                <w:lang w:val="en-US"/>
              </w:rPr>
            </w:pPr>
            <w:proofErr w:type="gramStart"/>
            <w:r>
              <w:rPr>
                <w:sz w:val="18"/>
                <w:szCs w:val="18"/>
                <w:lang w:val="en-US" w:eastAsia="en-US"/>
              </w:rPr>
              <w:t>t</w:t>
            </w:r>
            <w:r w:rsidRPr="001C40E9">
              <w:rPr>
                <w:sz w:val="18"/>
                <w:szCs w:val="18"/>
                <w:lang w:val="en-US" w:eastAsia="en-US"/>
              </w:rPr>
              <w:t>he</w:t>
            </w:r>
            <w:proofErr w:type="gramEnd"/>
            <w:r w:rsidRPr="001C40E9">
              <w:rPr>
                <w:sz w:val="18"/>
                <w:szCs w:val="18"/>
                <w:lang w:val="en-US" w:eastAsia="en-US"/>
              </w:rPr>
              <w:t xml:space="preserve"> indicator is improved due to the reduction of number of customers affected by power interruption from 17 to 5.</w:t>
            </w:r>
          </w:p>
        </w:tc>
      </w:tr>
    </w:tbl>
    <w:p w:rsidR="005C5363" w:rsidRDefault="005C5363" w:rsidP="002664E4">
      <w:pPr>
        <w:tabs>
          <w:tab w:val="left" w:pos="0"/>
          <w:tab w:val="left" w:pos="426"/>
        </w:tabs>
        <w:autoSpaceDE w:val="0"/>
        <w:autoSpaceDN w:val="0"/>
        <w:adjustRightInd w:val="0"/>
        <w:ind w:left="66"/>
        <w:jc w:val="both"/>
        <w:rPr>
          <w:color w:val="000000"/>
          <w:sz w:val="22"/>
          <w:szCs w:val="22"/>
          <w:lang w:val="en-US"/>
        </w:rPr>
      </w:pPr>
    </w:p>
    <w:p w:rsidR="002664E4" w:rsidRDefault="002664E4" w:rsidP="00CF5769">
      <w:pPr>
        <w:tabs>
          <w:tab w:val="left" w:pos="284"/>
        </w:tabs>
        <w:autoSpaceDE w:val="0"/>
        <w:autoSpaceDN w:val="0"/>
        <w:adjustRightInd w:val="0"/>
        <w:ind w:left="-567" w:firstLine="567"/>
        <w:jc w:val="both"/>
        <w:rPr>
          <w:color w:val="000000"/>
          <w:sz w:val="22"/>
          <w:szCs w:val="22"/>
          <w:lang w:val="en-US"/>
        </w:rPr>
      </w:pPr>
      <w:r>
        <w:rPr>
          <w:color w:val="000000"/>
          <w:sz w:val="22"/>
          <w:szCs w:val="22"/>
          <w:lang w:val="en-US"/>
        </w:rPr>
        <w:t>Below are given the</w:t>
      </w:r>
      <w:r w:rsidRPr="00343797">
        <w:rPr>
          <w:color w:val="000000"/>
          <w:sz w:val="22"/>
          <w:szCs w:val="22"/>
          <w:lang w:val="en-US"/>
        </w:rPr>
        <w:t xml:space="preserve"> factors </w:t>
      </w:r>
      <w:r>
        <w:rPr>
          <w:color w:val="000000"/>
          <w:sz w:val="22"/>
          <w:szCs w:val="22"/>
          <w:lang w:val="en-US"/>
        </w:rPr>
        <w:t xml:space="preserve">of change in </w:t>
      </w:r>
      <w:r w:rsidRPr="00A92092">
        <w:rPr>
          <w:b/>
          <w:color w:val="000000"/>
          <w:sz w:val="22"/>
          <w:szCs w:val="22"/>
          <w:lang w:val="en-US"/>
        </w:rPr>
        <w:t>net profit</w:t>
      </w:r>
      <w:r w:rsidRPr="00343797">
        <w:rPr>
          <w:color w:val="000000"/>
          <w:sz w:val="22"/>
          <w:szCs w:val="22"/>
          <w:lang w:val="en-US"/>
        </w:rPr>
        <w:t xml:space="preserve"> of companies in this segment</w:t>
      </w:r>
      <w:r w:rsidR="00A92092">
        <w:rPr>
          <w:color w:val="000000"/>
          <w:sz w:val="22"/>
          <w:szCs w:val="22"/>
          <w:lang w:val="en-US"/>
        </w:rPr>
        <w:t xml:space="preserve"> </w:t>
      </w:r>
      <w:r w:rsidR="00A92092" w:rsidRPr="005716A9">
        <w:rPr>
          <w:rStyle w:val="apple-style-span"/>
          <w:sz w:val="22"/>
          <w:szCs w:val="22"/>
          <w:shd w:val="clear" w:color="auto" w:fill="FFFFFF"/>
          <w:lang w:val="en-US"/>
        </w:rPr>
        <w:t xml:space="preserve">in </w:t>
      </w:r>
      <w:r w:rsidR="00A92092">
        <w:rPr>
          <w:rStyle w:val="apple-style-span"/>
          <w:sz w:val="22"/>
          <w:szCs w:val="22"/>
          <w:shd w:val="clear" w:color="auto" w:fill="FFFFFF"/>
          <w:lang w:val="en-US"/>
        </w:rPr>
        <w:t>the reporting period</w:t>
      </w:r>
      <w:r w:rsidR="00A92092" w:rsidRPr="005716A9">
        <w:rPr>
          <w:rStyle w:val="apple-style-span"/>
          <w:sz w:val="22"/>
          <w:szCs w:val="22"/>
          <w:shd w:val="clear" w:color="auto" w:fill="FFFFFF"/>
          <w:lang w:val="en-US"/>
        </w:rPr>
        <w:t xml:space="preserve"> compared to </w:t>
      </w:r>
      <w:r w:rsidR="00A92092">
        <w:rPr>
          <w:rStyle w:val="apple-style-span"/>
          <w:sz w:val="22"/>
          <w:szCs w:val="22"/>
          <w:shd w:val="clear" w:color="auto" w:fill="FFFFFF"/>
          <w:lang w:val="en-US"/>
        </w:rPr>
        <w:t>the same period of 2011</w:t>
      </w:r>
      <w:r>
        <w:rPr>
          <w:color w:val="000000"/>
          <w:sz w:val="22"/>
          <w:szCs w:val="22"/>
          <w:lang w:val="en-US"/>
        </w:rPr>
        <w:t>.</w:t>
      </w:r>
    </w:p>
    <w:p w:rsidR="00CD6A66" w:rsidRPr="00343797" w:rsidRDefault="00CD6A66" w:rsidP="002664E4">
      <w:pPr>
        <w:tabs>
          <w:tab w:val="left" w:pos="0"/>
          <w:tab w:val="left" w:pos="426"/>
        </w:tabs>
        <w:autoSpaceDE w:val="0"/>
        <w:autoSpaceDN w:val="0"/>
        <w:adjustRightInd w:val="0"/>
        <w:ind w:left="66"/>
        <w:jc w:val="both"/>
        <w:rPr>
          <w:color w:val="000000"/>
          <w:sz w:val="22"/>
          <w:szCs w:val="22"/>
          <w:lang w:val="en-US"/>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3"/>
        <w:gridCol w:w="1559"/>
      </w:tblGrid>
      <w:tr w:rsidR="002664E4" w:rsidRPr="000F73F9" w:rsidTr="00CD6A66">
        <w:trPr>
          <w:trHeight w:val="420"/>
          <w:tblHeader/>
        </w:trPr>
        <w:tc>
          <w:tcPr>
            <w:tcW w:w="8223" w:type="dxa"/>
            <w:shd w:val="clear" w:color="000000" w:fill="FFFFFF"/>
            <w:noWrap/>
            <w:vAlign w:val="center"/>
            <w:hideMark/>
          </w:tcPr>
          <w:p w:rsidR="002664E4" w:rsidRPr="0071573A" w:rsidRDefault="002664E4" w:rsidP="00770BC8">
            <w:pPr>
              <w:jc w:val="center"/>
              <w:rPr>
                <w:b/>
                <w:bCs/>
                <w:color w:val="000000"/>
                <w:sz w:val="18"/>
                <w:szCs w:val="18"/>
                <w:lang w:val="en-US"/>
              </w:rPr>
            </w:pPr>
            <w:r>
              <w:rPr>
                <w:b/>
                <w:bCs/>
                <w:color w:val="000000"/>
                <w:sz w:val="18"/>
                <w:szCs w:val="18"/>
                <w:lang w:val="en-US"/>
              </w:rPr>
              <w:t>Factors</w:t>
            </w:r>
          </w:p>
        </w:tc>
        <w:tc>
          <w:tcPr>
            <w:tcW w:w="1559" w:type="dxa"/>
            <w:shd w:val="clear" w:color="000000" w:fill="FFFFFF"/>
            <w:vAlign w:val="center"/>
          </w:tcPr>
          <w:p w:rsidR="002664E4" w:rsidRPr="00137BA3" w:rsidRDefault="002664E4" w:rsidP="00770BC8">
            <w:pPr>
              <w:jc w:val="center"/>
              <w:rPr>
                <w:b/>
                <w:bCs/>
                <w:color w:val="000000"/>
                <w:sz w:val="18"/>
                <w:szCs w:val="18"/>
                <w:lang w:val="en-US"/>
              </w:rPr>
            </w:pPr>
            <w:r>
              <w:rPr>
                <w:b/>
                <w:bCs/>
                <w:color w:val="000000"/>
                <w:sz w:val="18"/>
                <w:szCs w:val="18"/>
                <w:lang w:val="en-US"/>
              </w:rPr>
              <w:t>Changes</w:t>
            </w:r>
            <w:r w:rsidRPr="001370C1">
              <w:rPr>
                <w:b/>
                <w:bCs/>
                <w:color w:val="000000"/>
                <w:sz w:val="18"/>
                <w:szCs w:val="18"/>
              </w:rPr>
              <w:t xml:space="preserve">, </w:t>
            </w:r>
            <w:r w:rsidR="000A43AE">
              <w:rPr>
                <w:b/>
                <w:bCs/>
                <w:color w:val="000000"/>
                <w:sz w:val="18"/>
                <w:szCs w:val="18"/>
                <w:lang w:val="en-US"/>
              </w:rPr>
              <w:t>billion</w:t>
            </w:r>
            <w:r>
              <w:rPr>
                <w:b/>
                <w:bCs/>
                <w:color w:val="000000"/>
                <w:sz w:val="18"/>
                <w:szCs w:val="18"/>
                <w:lang w:val="en-US"/>
              </w:rPr>
              <w:t xml:space="preserve"> KZT</w:t>
            </w:r>
          </w:p>
        </w:tc>
      </w:tr>
      <w:tr w:rsidR="00A470F0" w:rsidRPr="00681E70" w:rsidTr="00770BC8">
        <w:trPr>
          <w:trHeight w:val="420"/>
        </w:trPr>
        <w:tc>
          <w:tcPr>
            <w:tcW w:w="8223" w:type="dxa"/>
            <w:shd w:val="clear" w:color="000000" w:fill="FFFFFF"/>
            <w:noWrap/>
            <w:vAlign w:val="center"/>
            <w:hideMark/>
          </w:tcPr>
          <w:p w:rsidR="00A470F0" w:rsidRPr="00343797" w:rsidRDefault="00A470F0" w:rsidP="00681E70">
            <w:pPr>
              <w:rPr>
                <w:color w:val="000000"/>
                <w:sz w:val="18"/>
                <w:szCs w:val="18"/>
                <w:lang w:val="en-US"/>
              </w:rPr>
            </w:pPr>
            <w:r w:rsidRPr="00343797">
              <w:rPr>
                <w:color w:val="000000"/>
                <w:sz w:val="18"/>
                <w:szCs w:val="18"/>
                <w:lang w:val="en-US"/>
              </w:rPr>
              <w:t> </w:t>
            </w:r>
            <w:r>
              <w:rPr>
                <w:b/>
                <w:color w:val="000000"/>
                <w:sz w:val="18"/>
                <w:szCs w:val="18"/>
                <w:lang w:val="en-US"/>
              </w:rPr>
              <w:t>Net</w:t>
            </w:r>
            <w:r w:rsidRPr="00343797">
              <w:rPr>
                <w:b/>
                <w:color w:val="000000"/>
                <w:sz w:val="18"/>
                <w:szCs w:val="18"/>
                <w:lang w:val="en-US"/>
              </w:rPr>
              <w:t xml:space="preserve"> </w:t>
            </w:r>
            <w:r>
              <w:rPr>
                <w:b/>
                <w:color w:val="000000"/>
                <w:sz w:val="18"/>
                <w:szCs w:val="18"/>
                <w:lang w:val="en-US"/>
              </w:rPr>
              <w:t>income</w:t>
            </w:r>
            <w:r w:rsidRPr="00343797">
              <w:rPr>
                <w:b/>
                <w:color w:val="000000"/>
                <w:sz w:val="18"/>
                <w:szCs w:val="18"/>
                <w:lang w:val="en-US"/>
              </w:rPr>
              <w:t xml:space="preserve"> (</w:t>
            </w:r>
            <w:r>
              <w:rPr>
                <w:b/>
                <w:color w:val="000000"/>
                <w:sz w:val="18"/>
                <w:szCs w:val="18"/>
                <w:lang w:val="en-US"/>
              </w:rPr>
              <w:t>KZT</w:t>
            </w:r>
            <w:r w:rsidRPr="00343797">
              <w:rPr>
                <w:b/>
                <w:color w:val="000000"/>
                <w:sz w:val="18"/>
                <w:szCs w:val="18"/>
                <w:lang w:val="en-US"/>
              </w:rPr>
              <w:t xml:space="preserve"> </w:t>
            </w:r>
            <w:r>
              <w:rPr>
                <w:b/>
                <w:color w:val="000000"/>
                <w:sz w:val="18"/>
                <w:szCs w:val="18"/>
                <w:lang w:val="en-US"/>
              </w:rPr>
              <w:t>20.9</w:t>
            </w:r>
            <w:r w:rsidRPr="00343797">
              <w:rPr>
                <w:b/>
                <w:color w:val="000000"/>
                <w:sz w:val="18"/>
                <w:szCs w:val="18"/>
                <w:lang w:val="en-US"/>
              </w:rPr>
              <w:t xml:space="preserve"> </w:t>
            </w:r>
            <w:r>
              <w:rPr>
                <w:b/>
                <w:color w:val="000000"/>
                <w:sz w:val="18"/>
                <w:szCs w:val="18"/>
                <w:lang w:val="en-US"/>
              </w:rPr>
              <w:t>billion for the reporting period</w:t>
            </w:r>
            <w:r w:rsidRPr="00343797">
              <w:rPr>
                <w:b/>
                <w:color w:val="000000"/>
                <w:sz w:val="18"/>
                <w:szCs w:val="18"/>
                <w:lang w:val="en-US"/>
              </w:rPr>
              <w:t xml:space="preserve">; </w:t>
            </w:r>
            <w:r>
              <w:rPr>
                <w:b/>
                <w:color w:val="000000"/>
                <w:sz w:val="18"/>
                <w:szCs w:val="18"/>
                <w:lang w:val="en-US"/>
              </w:rPr>
              <w:t>KZT 22.5</w:t>
            </w:r>
            <w:r w:rsidRPr="00343797">
              <w:rPr>
                <w:b/>
                <w:color w:val="000000"/>
                <w:sz w:val="18"/>
                <w:szCs w:val="18"/>
                <w:lang w:val="en-US"/>
              </w:rPr>
              <w:t xml:space="preserve"> </w:t>
            </w:r>
            <w:r>
              <w:rPr>
                <w:b/>
                <w:color w:val="000000"/>
                <w:sz w:val="18"/>
                <w:szCs w:val="18"/>
                <w:lang w:val="en-US"/>
              </w:rPr>
              <w:t>billion for</w:t>
            </w:r>
            <w:r w:rsidRPr="00343797">
              <w:rPr>
                <w:b/>
                <w:color w:val="000000"/>
                <w:sz w:val="18"/>
                <w:szCs w:val="18"/>
                <w:lang w:val="en-US"/>
              </w:rPr>
              <w:t xml:space="preserve"> </w:t>
            </w:r>
            <w:r>
              <w:rPr>
                <w:b/>
                <w:color w:val="000000"/>
                <w:sz w:val="18"/>
                <w:szCs w:val="18"/>
                <w:lang w:val="en-US"/>
              </w:rPr>
              <w:t>the same period of 2011</w:t>
            </w:r>
            <w:r w:rsidRPr="00343797">
              <w:rPr>
                <w:b/>
                <w:color w:val="000000"/>
                <w:sz w:val="18"/>
                <w:szCs w:val="18"/>
                <w:lang w:val="en-US"/>
              </w:rPr>
              <w:t xml:space="preserve"> )</w:t>
            </w:r>
          </w:p>
        </w:tc>
        <w:tc>
          <w:tcPr>
            <w:tcW w:w="1559" w:type="dxa"/>
            <w:shd w:val="clear" w:color="000000" w:fill="FFFFFF"/>
            <w:vAlign w:val="center"/>
          </w:tcPr>
          <w:p w:rsidR="00A470F0" w:rsidRPr="00543A3D" w:rsidRDefault="00A470F0" w:rsidP="00300106">
            <w:pPr>
              <w:jc w:val="center"/>
              <w:rPr>
                <w:color w:val="000000"/>
                <w:sz w:val="18"/>
                <w:szCs w:val="18"/>
              </w:rPr>
            </w:pPr>
            <w:r w:rsidRPr="00543A3D">
              <w:rPr>
                <w:color w:val="000000"/>
                <w:sz w:val="18"/>
                <w:szCs w:val="18"/>
              </w:rPr>
              <w:t>- 1,6</w:t>
            </w:r>
          </w:p>
        </w:tc>
      </w:tr>
      <w:tr w:rsidR="00A470F0" w:rsidRPr="00681E70" w:rsidTr="00757671">
        <w:trPr>
          <w:trHeight w:val="258"/>
        </w:trPr>
        <w:tc>
          <w:tcPr>
            <w:tcW w:w="8223" w:type="dxa"/>
            <w:shd w:val="clear" w:color="000000" w:fill="FFFFFF"/>
            <w:noWrap/>
            <w:vAlign w:val="center"/>
            <w:hideMark/>
          </w:tcPr>
          <w:p w:rsidR="00A470F0" w:rsidRPr="00681E70" w:rsidRDefault="00A470F0" w:rsidP="00681E70">
            <w:pPr>
              <w:rPr>
                <w:b/>
                <w:color w:val="000000"/>
                <w:sz w:val="18"/>
                <w:szCs w:val="18"/>
                <w:lang w:val="en-US"/>
              </w:rPr>
            </w:pPr>
            <w:r w:rsidRPr="00681E70">
              <w:rPr>
                <w:color w:val="000000"/>
                <w:sz w:val="18"/>
                <w:szCs w:val="18"/>
                <w:lang w:val="en-US"/>
              </w:rPr>
              <w:t> </w:t>
            </w:r>
            <w:r w:rsidRPr="00681E70">
              <w:rPr>
                <w:b/>
                <w:color w:val="000000"/>
                <w:sz w:val="18"/>
                <w:szCs w:val="18"/>
                <w:lang w:val="en-US"/>
              </w:rPr>
              <w:t>Increase in the volume of services</w:t>
            </w:r>
          </w:p>
          <w:p w:rsidR="00A470F0" w:rsidRPr="00681E70" w:rsidRDefault="00A470F0" w:rsidP="00681E70">
            <w:pPr>
              <w:rPr>
                <w:color w:val="000000"/>
                <w:sz w:val="18"/>
                <w:szCs w:val="18"/>
                <w:lang w:val="en-US"/>
              </w:rPr>
            </w:pPr>
            <w:r w:rsidRPr="00681E70">
              <w:rPr>
                <w:color w:val="000000"/>
                <w:sz w:val="18"/>
                <w:szCs w:val="18"/>
                <w:lang w:val="en-US"/>
              </w:rPr>
              <w:t xml:space="preserve">• growth of electric power transmission </w:t>
            </w:r>
            <w:r>
              <w:rPr>
                <w:color w:val="000000"/>
                <w:sz w:val="18"/>
                <w:szCs w:val="18"/>
                <w:lang w:val="en-US"/>
              </w:rPr>
              <w:t xml:space="preserve">by </w:t>
            </w:r>
            <w:r w:rsidRPr="00681E70">
              <w:rPr>
                <w:color w:val="000000"/>
                <w:sz w:val="18"/>
                <w:szCs w:val="18"/>
                <w:lang w:val="en-US"/>
              </w:rPr>
              <w:t>KEGOC;</w:t>
            </w:r>
          </w:p>
          <w:p w:rsidR="00A470F0" w:rsidRPr="00681E70" w:rsidRDefault="00A470F0" w:rsidP="00681E70">
            <w:pPr>
              <w:rPr>
                <w:color w:val="000000"/>
                <w:sz w:val="18"/>
                <w:szCs w:val="18"/>
                <w:lang w:val="en-US"/>
              </w:rPr>
            </w:pPr>
            <w:r w:rsidRPr="00681E70">
              <w:rPr>
                <w:color w:val="000000"/>
                <w:sz w:val="18"/>
                <w:szCs w:val="18"/>
                <w:lang w:val="en-US"/>
              </w:rPr>
              <w:t xml:space="preserve">• increased technical </w:t>
            </w:r>
            <w:r>
              <w:rPr>
                <w:color w:val="000000"/>
                <w:sz w:val="18"/>
                <w:szCs w:val="18"/>
                <w:lang w:val="en-US"/>
              </w:rPr>
              <w:t>dispatching</w:t>
            </w:r>
            <w:r w:rsidRPr="00681E70">
              <w:rPr>
                <w:color w:val="000000"/>
                <w:sz w:val="18"/>
                <w:szCs w:val="18"/>
                <w:lang w:val="en-US"/>
              </w:rPr>
              <w:t xml:space="preserve"> services;</w:t>
            </w:r>
          </w:p>
          <w:p w:rsidR="00A470F0" w:rsidRPr="00681E70" w:rsidRDefault="00A470F0" w:rsidP="00681E70">
            <w:pPr>
              <w:rPr>
                <w:color w:val="000000"/>
                <w:sz w:val="18"/>
                <w:szCs w:val="18"/>
                <w:lang w:val="en-US"/>
              </w:rPr>
            </w:pPr>
            <w:r w:rsidRPr="00681E70">
              <w:rPr>
                <w:color w:val="000000"/>
                <w:sz w:val="18"/>
                <w:szCs w:val="18"/>
                <w:lang w:val="en-US"/>
              </w:rPr>
              <w:t>• growth on balancing production and consumption of electricity;</w:t>
            </w:r>
          </w:p>
          <w:p w:rsidR="00A470F0" w:rsidRPr="00681E70" w:rsidRDefault="00A470F0" w:rsidP="00681E70">
            <w:pPr>
              <w:rPr>
                <w:color w:val="000000"/>
                <w:sz w:val="18"/>
                <w:szCs w:val="18"/>
                <w:lang w:val="en-US"/>
              </w:rPr>
            </w:pPr>
            <w:r>
              <w:rPr>
                <w:color w:val="000000"/>
                <w:sz w:val="18"/>
                <w:szCs w:val="18"/>
                <w:lang w:val="en-US"/>
              </w:rPr>
              <w:t>• i</w:t>
            </w:r>
            <w:r w:rsidRPr="00681E70">
              <w:rPr>
                <w:color w:val="000000"/>
                <w:sz w:val="18"/>
                <w:szCs w:val="18"/>
                <w:lang w:val="en-US"/>
              </w:rPr>
              <w:t>ncreased production of electricity;</w:t>
            </w:r>
          </w:p>
          <w:p w:rsidR="00A470F0" w:rsidRPr="00681E70" w:rsidRDefault="00A470F0" w:rsidP="00681E70">
            <w:pPr>
              <w:rPr>
                <w:color w:val="000000"/>
                <w:sz w:val="18"/>
                <w:szCs w:val="18"/>
                <w:lang w:val="en-US"/>
              </w:rPr>
            </w:pPr>
            <w:r w:rsidRPr="00681E70">
              <w:rPr>
                <w:color w:val="000000"/>
                <w:sz w:val="18"/>
                <w:szCs w:val="18"/>
                <w:lang w:val="en-US"/>
              </w:rPr>
              <w:t xml:space="preserve">• </w:t>
            </w:r>
            <w:r>
              <w:rPr>
                <w:color w:val="000000"/>
                <w:sz w:val="18"/>
                <w:szCs w:val="18"/>
                <w:lang w:val="en-US"/>
              </w:rPr>
              <w:t>g</w:t>
            </w:r>
            <w:r w:rsidRPr="00681E70">
              <w:rPr>
                <w:color w:val="000000"/>
                <w:sz w:val="18"/>
                <w:szCs w:val="18"/>
                <w:lang w:val="en-US"/>
              </w:rPr>
              <w:t>rowth in sales of electricity;</w:t>
            </w:r>
          </w:p>
          <w:p w:rsidR="00A470F0" w:rsidRPr="00681E70" w:rsidRDefault="00A470F0" w:rsidP="00681E70">
            <w:pPr>
              <w:rPr>
                <w:color w:val="000000"/>
                <w:sz w:val="18"/>
                <w:szCs w:val="18"/>
                <w:lang w:val="en-US"/>
              </w:rPr>
            </w:pPr>
            <w:r w:rsidRPr="00681E70">
              <w:rPr>
                <w:color w:val="000000"/>
                <w:sz w:val="18"/>
                <w:szCs w:val="18"/>
                <w:lang w:val="en-US"/>
              </w:rPr>
              <w:t xml:space="preserve">• increased provision of electricity transmission services </w:t>
            </w:r>
            <w:r>
              <w:rPr>
                <w:color w:val="000000"/>
                <w:sz w:val="18"/>
                <w:szCs w:val="18"/>
                <w:lang w:val="en-US"/>
              </w:rPr>
              <w:t xml:space="preserve">by </w:t>
            </w:r>
            <w:r w:rsidRPr="00681E70">
              <w:rPr>
                <w:color w:val="000000"/>
                <w:sz w:val="18"/>
                <w:szCs w:val="18"/>
                <w:lang w:val="en-US"/>
              </w:rPr>
              <w:t>Samruk-Energy;</w:t>
            </w:r>
          </w:p>
          <w:p w:rsidR="00A470F0" w:rsidRPr="00681E70" w:rsidRDefault="00A470F0" w:rsidP="00342EBF">
            <w:pPr>
              <w:rPr>
                <w:color w:val="FF0000"/>
                <w:sz w:val="18"/>
                <w:szCs w:val="18"/>
                <w:lang w:val="en-US"/>
              </w:rPr>
            </w:pPr>
            <w:r w:rsidRPr="00681E70">
              <w:rPr>
                <w:color w:val="000000"/>
                <w:sz w:val="18"/>
                <w:szCs w:val="18"/>
                <w:lang w:val="en-US"/>
              </w:rPr>
              <w:t xml:space="preserve">• additional revenue in the amount of </w:t>
            </w:r>
            <w:r>
              <w:rPr>
                <w:color w:val="000000"/>
                <w:sz w:val="18"/>
                <w:szCs w:val="18"/>
                <w:lang w:val="en-US"/>
              </w:rPr>
              <w:t xml:space="preserve">KZT </w:t>
            </w:r>
            <w:r w:rsidRPr="00681E70">
              <w:rPr>
                <w:color w:val="000000"/>
                <w:sz w:val="18"/>
                <w:szCs w:val="18"/>
                <w:lang w:val="en-US"/>
              </w:rPr>
              <w:t xml:space="preserve">324 million </w:t>
            </w:r>
            <w:r>
              <w:rPr>
                <w:color w:val="000000"/>
                <w:sz w:val="18"/>
                <w:szCs w:val="18"/>
                <w:lang w:val="en-US"/>
              </w:rPr>
              <w:t>on</w:t>
            </w:r>
            <w:r w:rsidRPr="00681E70">
              <w:rPr>
                <w:color w:val="000000"/>
                <w:sz w:val="18"/>
                <w:szCs w:val="18"/>
                <w:lang w:val="en-US"/>
              </w:rPr>
              <w:t xml:space="preserve"> KEGOC </w:t>
            </w:r>
            <w:r>
              <w:rPr>
                <w:color w:val="000000"/>
                <w:sz w:val="18"/>
                <w:szCs w:val="18"/>
                <w:lang w:val="en-US"/>
              </w:rPr>
              <w:t>due to</w:t>
            </w:r>
            <w:r w:rsidRPr="00681E70">
              <w:rPr>
                <w:color w:val="000000"/>
                <w:sz w:val="18"/>
                <w:szCs w:val="18"/>
                <w:lang w:val="en-US"/>
              </w:rPr>
              <w:t xml:space="preserve"> recognition of </w:t>
            </w:r>
            <w:r>
              <w:rPr>
                <w:color w:val="000000"/>
                <w:sz w:val="18"/>
                <w:szCs w:val="18"/>
                <w:lang w:val="en-US"/>
              </w:rPr>
              <w:t xml:space="preserve">the </w:t>
            </w:r>
            <w:r w:rsidRPr="00681E70">
              <w:rPr>
                <w:color w:val="000000"/>
                <w:sz w:val="18"/>
                <w:szCs w:val="18"/>
                <w:lang w:val="en-US"/>
              </w:rPr>
              <w:t xml:space="preserve">fact of rendering services for power </w:t>
            </w:r>
            <w:r>
              <w:rPr>
                <w:color w:val="000000"/>
                <w:sz w:val="18"/>
                <w:szCs w:val="18"/>
                <w:lang w:val="en-US"/>
              </w:rPr>
              <w:t>regulation by “</w:t>
            </w:r>
            <w:proofErr w:type="spellStart"/>
            <w:r w:rsidRPr="00681E70">
              <w:rPr>
                <w:color w:val="000000"/>
                <w:sz w:val="18"/>
                <w:szCs w:val="18"/>
                <w:lang w:val="en-US"/>
              </w:rPr>
              <w:t>Uzbekenergo</w:t>
            </w:r>
            <w:proofErr w:type="spellEnd"/>
            <w:r>
              <w:rPr>
                <w:color w:val="000000"/>
                <w:sz w:val="18"/>
                <w:szCs w:val="18"/>
                <w:lang w:val="en-US"/>
              </w:rPr>
              <w:t>” SJSC</w:t>
            </w:r>
            <w:r w:rsidRPr="00681E70">
              <w:rPr>
                <w:color w:val="000000"/>
                <w:sz w:val="18"/>
                <w:szCs w:val="18"/>
                <w:lang w:val="en-US"/>
              </w:rPr>
              <w:t>.</w:t>
            </w:r>
          </w:p>
        </w:tc>
        <w:tc>
          <w:tcPr>
            <w:tcW w:w="1559" w:type="dxa"/>
            <w:shd w:val="clear" w:color="000000" w:fill="FFFFFF"/>
            <w:vAlign w:val="center"/>
          </w:tcPr>
          <w:p w:rsidR="00A470F0" w:rsidRPr="00543A3D" w:rsidRDefault="00A470F0" w:rsidP="00300106">
            <w:pPr>
              <w:jc w:val="center"/>
              <w:rPr>
                <w:sz w:val="18"/>
                <w:szCs w:val="18"/>
              </w:rPr>
            </w:pPr>
            <w:r w:rsidRPr="00543A3D">
              <w:rPr>
                <w:sz w:val="18"/>
                <w:szCs w:val="18"/>
              </w:rPr>
              <w:t>3,</w:t>
            </w:r>
            <w:r>
              <w:rPr>
                <w:sz w:val="18"/>
                <w:szCs w:val="18"/>
              </w:rPr>
              <w:t>9</w:t>
            </w:r>
          </w:p>
        </w:tc>
      </w:tr>
      <w:tr w:rsidR="00A470F0" w:rsidRPr="006F61B9" w:rsidTr="00770BC8">
        <w:trPr>
          <w:trHeight w:val="312"/>
        </w:trPr>
        <w:tc>
          <w:tcPr>
            <w:tcW w:w="8223" w:type="dxa"/>
            <w:shd w:val="clear" w:color="000000" w:fill="FFFFFF"/>
            <w:noWrap/>
            <w:vAlign w:val="center"/>
            <w:hideMark/>
          </w:tcPr>
          <w:p w:rsidR="00A470F0" w:rsidRPr="00342EBF" w:rsidRDefault="00A470F0" w:rsidP="00342EBF">
            <w:pPr>
              <w:ind w:left="34"/>
              <w:rPr>
                <w:b/>
                <w:color w:val="000000"/>
                <w:sz w:val="18"/>
                <w:szCs w:val="18"/>
                <w:lang w:val="en-US"/>
              </w:rPr>
            </w:pPr>
            <w:r w:rsidRPr="00342EBF">
              <w:rPr>
                <w:b/>
                <w:color w:val="000000"/>
                <w:sz w:val="18"/>
                <w:szCs w:val="18"/>
                <w:lang w:val="en-US"/>
              </w:rPr>
              <w:t>Growth of tariffs for regulated services</w:t>
            </w:r>
          </w:p>
          <w:p w:rsidR="00A470F0" w:rsidRPr="00342EBF" w:rsidRDefault="00A470F0" w:rsidP="00342EBF">
            <w:pPr>
              <w:ind w:left="34"/>
              <w:rPr>
                <w:color w:val="000000"/>
                <w:sz w:val="18"/>
                <w:szCs w:val="18"/>
                <w:lang w:val="en-US"/>
              </w:rPr>
            </w:pPr>
            <w:r w:rsidRPr="00342EBF">
              <w:rPr>
                <w:color w:val="000000"/>
                <w:sz w:val="18"/>
                <w:szCs w:val="18"/>
                <w:lang w:val="en-US"/>
              </w:rPr>
              <w:t xml:space="preserve">• </w:t>
            </w:r>
            <w:r>
              <w:rPr>
                <w:color w:val="000000"/>
                <w:sz w:val="18"/>
                <w:szCs w:val="18"/>
                <w:lang w:val="en-US"/>
              </w:rPr>
              <w:t>since</w:t>
            </w:r>
            <w:r w:rsidRPr="00342EBF">
              <w:rPr>
                <w:color w:val="000000"/>
                <w:sz w:val="18"/>
                <w:szCs w:val="18"/>
                <w:lang w:val="en-US"/>
              </w:rPr>
              <w:t xml:space="preserve"> September 1, 2011 tariffs for electricity transmission from 0.94 to 0.953 KZT / kWh </w:t>
            </w:r>
            <w:r>
              <w:rPr>
                <w:color w:val="000000"/>
                <w:sz w:val="18"/>
                <w:szCs w:val="18"/>
                <w:lang w:val="en-US"/>
              </w:rPr>
              <w:t xml:space="preserve">have been  increased </w:t>
            </w:r>
            <w:r w:rsidRPr="00342EBF">
              <w:rPr>
                <w:color w:val="000000"/>
                <w:sz w:val="18"/>
                <w:szCs w:val="18"/>
                <w:lang w:val="en-US"/>
              </w:rPr>
              <w:t>for KEGOC;</w:t>
            </w:r>
          </w:p>
          <w:p w:rsidR="00A470F0" w:rsidRPr="00342EBF" w:rsidRDefault="00A470F0" w:rsidP="00342EBF">
            <w:pPr>
              <w:ind w:left="34"/>
              <w:rPr>
                <w:color w:val="000000"/>
                <w:sz w:val="18"/>
                <w:szCs w:val="18"/>
                <w:lang w:val="en-US"/>
              </w:rPr>
            </w:pPr>
            <w:r w:rsidRPr="00342EBF">
              <w:rPr>
                <w:color w:val="000000"/>
                <w:sz w:val="18"/>
                <w:szCs w:val="18"/>
                <w:lang w:val="en-US"/>
              </w:rPr>
              <w:t xml:space="preserve">• September 1, 2011 KEGOC set a new </w:t>
            </w:r>
            <w:r>
              <w:rPr>
                <w:color w:val="000000"/>
                <w:sz w:val="18"/>
                <w:szCs w:val="18"/>
                <w:lang w:val="en-US"/>
              </w:rPr>
              <w:t>tariff</w:t>
            </w:r>
            <w:r w:rsidRPr="00342EBF">
              <w:rPr>
                <w:color w:val="000000"/>
                <w:sz w:val="18"/>
                <w:szCs w:val="18"/>
                <w:lang w:val="en-US"/>
              </w:rPr>
              <w:t xml:space="preserve"> </w:t>
            </w:r>
            <w:r>
              <w:rPr>
                <w:color w:val="000000"/>
                <w:sz w:val="18"/>
                <w:szCs w:val="18"/>
                <w:lang w:val="en-US"/>
              </w:rPr>
              <w:t>for</w:t>
            </w:r>
            <w:r w:rsidRPr="00342EBF">
              <w:rPr>
                <w:color w:val="000000"/>
                <w:sz w:val="18"/>
                <w:szCs w:val="18"/>
                <w:lang w:val="en-US"/>
              </w:rPr>
              <w:t xml:space="preserve"> technical </w:t>
            </w:r>
            <w:r>
              <w:rPr>
                <w:color w:val="000000"/>
                <w:sz w:val="18"/>
                <w:szCs w:val="18"/>
                <w:lang w:val="en-US"/>
              </w:rPr>
              <w:t>dispatching in the amount of</w:t>
            </w:r>
            <w:r w:rsidRPr="00342EBF">
              <w:rPr>
                <w:color w:val="000000"/>
                <w:sz w:val="18"/>
                <w:szCs w:val="18"/>
                <w:lang w:val="en-US"/>
              </w:rPr>
              <w:t xml:space="preserve"> 0.118 KZT / kWh;</w:t>
            </w:r>
          </w:p>
          <w:p w:rsidR="00A470F0" w:rsidRDefault="00A470F0" w:rsidP="00342EBF">
            <w:pPr>
              <w:ind w:left="34"/>
              <w:rPr>
                <w:color w:val="000000"/>
                <w:sz w:val="18"/>
                <w:szCs w:val="18"/>
                <w:lang w:val="en-US"/>
              </w:rPr>
            </w:pPr>
            <w:r w:rsidRPr="00342EBF">
              <w:rPr>
                <w:color w:val="000000"/>
                <w:sz w:val="18"/>
                <w:szCs w:val="18"/>
                <w:lang w:val="en-US"/>
              </w:rPr>
              <w:t xml:space="preserve">• </w:t>
            </w:r>
            <w:r>
              <w:rPr>
                <w:color w:val="000000"/>
                <w:sz w:val="18"/>
                <w:szCs w:val="18"/>
                <w:lang w:val="en-US"/>
              </w:rPr>
              <w:t>on JSC “</w:t>
            </w:r>
            <w:proofErr w:type="spellStart"/>
            <w:r w:rsidRPr="00342EBF">
              <w:rPr>
                <w:color w:val="000000"/>
                <w:sz w:val="18"/>
                <w:szCs w:val="18"/>
                <w:lang w:val="en-US"/>
              </w:rPr>
              <w:t>Mangistau</w:t>
            </w:r>
            <w:r>
              <w:rPr>
                <w:color w:val="000000"/>
                <w:sz w:val="18"/>
                <w:szCs w:val="18"/>
                <w:lang w:val="en-US"/>
              </w:rPr>
              <w:t>skaya</w:t>
            </w:r>
            <w:proofErr w:type="spellEnd"/>
            <w:r w:rsidRPr="00342EBF">
              <w:rPr>
                <w:color w:val="000000"/>
                <w:sz w:val="18"/>
                <w:szCs w:val="18"/>
                <w:lang w:val="en-US"/>
              </w:rPr>
              <w:t xml:space="preserve"> REC</w:t>
            </w:r>
            <w:r>
              <w:rPr>
                <w:color w:val="000000"/>
                <w:sz w:val="18"/>
                <w:szCs w:val="18"/>
                <w:lang w:val="en-US"/>
              </w:rPr>
              <w:t>”</w:t>
            </w:r>
            <w:r w:rsidRPr="00342EBF">
              <w:rPr>
                <w:color w:val="000000"/>
                <w:sz w:val="18"/>
                <w:szCs w:val="18"/>
                <w:lang w:val="en-US"/>
              </w:rPr>
              <w:t xml:space="preserve"> from March 28, 2012 the growth </w:t>
            </w:r>
            <w:r>
              <w:rPr>
                <w:color w:val="000000"/>
                <w:sz w:val="18"/>
                <w:szCs w:val="18"/>
                <w:lang w:val="en-US"/>
              </w:rPr>
              <w:t>of the tariff</w:t>
            </w:r>
            <w:r w:rsidRPr="00342EBF">
              <w:rPr>
                <w:color w:val="000000"/>
                <w:sz w:val="18"/>
                <w:szCs w:val="18"/>
                <w:lang w:val="en-US"/>
              </w:rPr>
              <w:t xml:space="preserve"> for electricity transmission and distributi</w:t>
            </w:r>
            <w:r>
              <w:rPr>
                <w:color w:val="000000"/>
                <w:sz w:val="18"/>
                <w:szCs w:val="18"/>
                <w:lang w:val="en-US"/>
              </w:rPr>
              <w:t>on from 1.95 to 2.39 KZT / kWh;</w:t>
            </w:r>
          </w:p>
          <w:p w:rsidR="00A470F0" w:rsidRPr="00342EBF" w:rsidRDefault="00A470F0" w:rsidP="00342EBF">
            <w:pPr>
              <w:ind w:left="34"/>
              <w:rPr>
                <w:color w:val="000000"/>
                <w:sz w:val="18"/>
                <w:szCs w:val="18"/>
                <w:lang w:val="en-US"/>
              </w:rPr>
            </w:pPr>
            <w:r w:rsidRPr="00342EBF">
              <w:rPr>
                <w:color w:val="000000"/>
                <w:sz w:val="18"/>
                <w:szCs w:val="18"/>
                <w:lang w:val="en-US"/>
              </w:rPr>
              <w:t>•</w:t>
            </w:r>
            <w:r>
              <w:rPr>
                <w:color w:val="000000"/>
                <w:sz w:val="18"/>
                <w:szCs w:val="18"/>
                <w:lang w:val="en-US"/>
              </w:rPr>
              <w:t xml:space="preserve"> increase in</w:t>
            </w:r>
            <w:r w:rsidRPr="00342EBF">
              <w:rPr>
                <w:color w:val="000000"/>
                <w:sz w:val="18"/>
                <w:szCs w:val="18"/>
                <w:lang w:val="en-US"/>
              </w:rPr>
              <w:t xml:space="preserve"> tariff on electricity sa</w:t>
            </w:r>
            <w:r>
              <w:rPr>
                <w:color w:val="000000"/>
                <w:sz w:val="18"/>
                <w:szCs w:val="18"/>
                <w:lang w:val="en-US"/>
              </w:rPr>
              <w:t>les from April 1, 2012 for LLP “</w:t>
            </w:r>
            <w:proofErr w:type="spellStart"/>
            <w:r>
              <w:rPr>
                <w:color w:val="000000"/>
                <w:sz w:val="18"/>
                <w:szCs w:val="18"/>
                <w:lang w:val="en-US"/>
              </w:rPr>
              <w:t>AlmatyEnergoSbyt</w:t>
            </w:r>
            <w:proofErr w:type="spellEnd"/>
            <w:r>
              <w:rPr>
                <w:color w:val="000000"/>
                <w:sz w:val="18"/>
                <w:szCs w:val="18"/>
                <w:lang w:val="en-US"/>
              </w:rPr>
              <w:t>” up</w:t>
            </w:r>
            <w:r w:rsidRPr="00342EBF">
              <w:rPr>
                <w:color w:val="000000"/>
                <w:sz w:val="18"/>
                <w:szCs w:val="18"/>
                <w:lang w:val="en-US"/>
              </w:rPr>
              <w:t xml:space="preserve"> to 11.79 KZT / kWh.</w:t>
            </w:r>
          </w:p>
        </w:tc>
        <w:tc>
          <w:tcPr>
            <w:tcW w:w="1559" w:type="dxa"/>
            <w:shd w:val="clear" w:color="000000" w:fill="FFFFFF"/>
            <w:vAlign w:val="center"/>
          </w:tcPr>
          <w:p w:rsidR="00A470F0" w:rsidRPr="00543A3D" w:rsidRDefault="00A470F0" w:rsidP="00300106">
            <w:pPr>
              <w:jc w:val="center"/>
              <w:rPr>
                <w:sz w:val="18"/>
                <w:szCs w:val="18"/>
              </w:rPr>
            </w:pPr>
            <w:r>
              <w:rPr>
                <w:sz w:val="18"/>
                <w:szCs w:val="18"/>
              </w:rPr>
              <w:t>1,7</w:t>
            </w:r>
          </w:p>
        </w:tc>
      </w:tr>
      <w:tr w:rsidR="00A470F0" w:rsidRPr="00B80910" w:rsidTr="00911765">
        <w:trPr>
          <w:trHeight w:val="278"/>
        </w:trPr>
        <w:tc>
          <w:tcPr>
            <w:tcW w:w="8223" w:type="dxa"/>
            <w:shd w:val="clear" w:color="000000" w:fill="FFFFFF"/>
          </w:tcPr>
          <w:p w:rsidR="00A470F0" w:rsidRPr="00A470F0" w:rsidRDefault="00A470F0" w:rsidP="00342EBF">
            <w:pPr>
              <w:rPr>
                <w:b/>
                <w:color w:val="000000"/>
                <w:sz w:val="18"/>
                <w:szCs w:val="18"/>
                <w:lang w:val="en-US"/>
              </w:rPr>
            </w:pPr>
            <w:r w:rsidRPr="00A470F0">
              <w:rPr>
                <w:b/>
                <w:color w:val="000000"/>
                <w:sz w:val="18"/>
                <w:szCs w:val="18"/>
                <w:lang w:val="en-US"/>
              </w:rPr>
              <w:t>Process losses</w:t>
            </w:r>
          </w:p>
          <w:p w:rsidR="00A470F0" w:rsidRPr="00A470F0" w:rsidRDefault="00A470F0" w:rsidP="00342EBF">
            <w:pPr>
              <w:rPr>
                <w:color w:val="000000"/>
                <w:sz w:val="18"/>
                <w:szCs w:val="18"/>
                <w:lang w:val="en-US"/>
              </w:rPr>
            </w:pPr>
            <w:r w:rsidRPr="00A470F0">
              <w:rPr>
                <w:color w:val="000000"/>
                <w:sz w:val="18"/>
                <w:szCs w:val="18"/>
                <w:lang w:val="en-US"/>
              </w:rPr>
              <w:t>• Increased costs for compensation of technological consumption of electricity at KEGOC by increasing the average price of electricity from 5.68 to 6.04 KZT / kWh, and also due to the growth of energy losses by 13% or 161.7 million kWh.</w:t>
            </w:r>
          </w:p>
        </w:tc>
        <w:tc>
          <w:tcPr>
            <w:tcW w:w="1559" w:type="dxa"/>
            <w:shd w:val="clear" w:color="000000" w:fill="FFFFFF"/>
            <w:vAlign w:val="center"/>
          </w:tcPr>
          <w:p w:rsidR="00A470F0" w:rsidRPr="00543A3D" w:rsidRDefault="00A470F0" w:rsidP="00300106">
            <w:pPr>
              <w:jc w:val="center"/>
              <w:rPr>
                <w:sz w:val="18"/>
                <w:szCs w:val="18"/>
              </w:rPr>
            </w:pPr>
            <w:r w:rsidRPr="00543A3D">
              <w:rPr>
                <w:sz w:val="18"/>
                <w:szCs w:val="18"/>
              </w:rPr>
              <w:t>-1,4</w:t>
            </w:r>
          </w:p>
        </w:tc>
      </w:tr>
      <w:tr w:rsidR="00A470F0" w:rsidRPr="00B80910" w:rsidTr="00300106">
        <w:trPr>
          <w:trHeight w:val="265"/>
        </w:trPr>
        <w:tc>
          <w:tcPr>
            <w:tcW w:w="8223" w:type="dxa"/>
            <w:shd w:val="clear" w:color="000000" w:fill="FFFFFF"/>
            <w:noWrap/>
          </w:tcPr>
          <w:p w:rsidR="00A470F0" w:rsidRPr="00A470F0" w:rsidRDefault="00A470F0" w:rsidP="00A470F0">
            <w:pPr>
              <w:rPr>
                <w:b/>
                <w:color w:val="000000"/>
                <w:sz w:val="18"/>
                <w:szCs w:val="18"/>
                <w:lang w:val="en-US"/>
              </w:rPr>
            </w:pPr>
            <w:r w:rsidRPr="00A470F0">
              <w:rPr>
                <w:b/>
                <w:color w:val="000000"/>
                <w:sz w:val="18"/>
                <w:szCs w:val="18"/>
                <w:lang w:val="en-US"/>
              </w:rPr>
              <w:t>Fuel</w:t>
            </w:r>
          </w:p>
          <w:p w:rsidR="00A470F0" w:rsidRPr="00A470F0" w:rsidRDefault="00A470F0" w:rsidP="00A470F0">
            <w:pPr>
              <w:rPr>
                <w:color w:val="000000"/>
                <w:sz w:val="18"/>
                <w:szCs w:val="18"/>
                <w:lang w:val="en-US"/>
              </w:rPr>
            </w:pPr>
            <w:r w:rsidRPr="00A470F0">
              <w:rPr>
                <w:color w:val="000000"/>
                <w:sz w:val="18"/>
                <w:szCs w:val="18"/>
                <w:lang w:val="en-US"/>
              </w:rPr>
              <w:t>• increase in fuel costs due to the change in the structure of fuel in JSC “</w:t>
            </w:r>
            <w:proofErr w:type="spellStart"/>
            <w:r w:rsidRPr="00A470F0">
              <w:rPr>
                <w:color w:val="000000"/>
                <w:sz w:val="18"/>
                <w:szCs w:val="18"/>
                <w:lang w:val="en-US"/>
              </w:rPr>
              <w:t>AlES</w:t>
            </w:r>
            <w:proofErr w:type="spellEnd"/>
            <w:r w:rsidRPr="00A470F0">
              <w:rPr>
                <w:color w:val="000000"/>
                <w:sz w:val="18"/>
                <w:szCs w:val="18"/>
                <w:lang w:val="en-US"/>
              </w:rPr>
              <w:t>” due to a shortage of natural gas during the heating winter period 2011-2012 and the price increase for fuel (</w:t>
            </w:r>
            <w:proofErr w:type="spellStart"/>
            <w:r w:rsidRPr="00A470F0">
              <w:rPr>
                <w:color w:val="000000"/>
                <w:sz w:val="18"/>
                <w:szCs w:val="18"/>
                <w:lang w:val="en-US"/>
              </w:rPr>
              <w:t>massut</w:t>
            </w:r>
            <w:proofErr w:type="spellEnd"/>
            <w:r w:rsidRPr="00A470F0">
              <w:rPr>
                <w:color w:val="000000"/>
                <w:sz w:val="18"/>
                <w:szCs w:val="18"/>
                <w:lang w:val="en-US"/>
              </w:rPr>
              <w:t xml:space="preserve"> and coal)</w:t>
            </w:r>
          </w:p>
        </w:tc>
        <w:tc>
          <w:tcPr>
            <w:tcW w:w="1559" w:type="dxa"/>
            <w:shd w:val="clear" w:color="000000" w:fill="FFFFFF"/>
            <w:vAlign w:val="center"/>
          </w:tcPr>
          <w:p w:rsidR="00A470F0" w:rsidRPr="00543A3D" w:rsidRDefault="00A470F0" w:rsidP="00300106">
            <w:pPr>
              <w:jc w:val="center"/>
              <w:rPr>
                <w:sz w:val="18"/>
                <w:szCs w:val="18"/>
              </w:rPr>
            </w:pPr>
            <w:r w:rsidRPr="00543A3D">
              <w:rPr>
                <w:sz w:val="18"/>
                <w:szCs w:val="18"/>
              </w:rPr>
              <w:t>-1,3</w:t>
            </w:r>
          </w:p>
        </w:tc>
      </w:tr>
      <w:tr w:rsidR="00A470F0" w:rsidRPr="006F61B9" w:rsidTr="00342EBF">
        <w:trPr>
          <w:trHeight w:val="278"/>
        </w:trPr>
        <w:tc>
          <w:tcPr>
            <w:tcW w:w="8223" w:type="dxa"/>
            <w:shd w:val="clear" w:color="000000" w:fill="FFFFFF"/>
            <w:noWrap/>
          </w:tcPr>
          <w:p w:rsidR="00A470F0" w:rsidRPr="00A470F0" w:rsidRDefault="00A470F0" w:rsidP="00A470F0">
            <w:pPr>
              <w:rPr>
                <w:b/>
                <w:color w:val="000000"/>
                <w:sz w:val="18"/>
                <w:szCs w:val="18"/>
                <w:lang w:val="en-US"/>
              </w:rPr>
            </w:pPr>
            <w:r w:rsidRPr="00A470F0">
              <w:rPr>
                <w:b/>
                <w:color w:val="000000"/>
                <w:sz w:val="18"/>
                <w:szCs w:val="18"/>
                <w:lang w:val="en-US"/>
              </w:rPr>
              <w:t>Depreciation and amortization of intangible assets:</w:t>
            </w:r>
          </w:p>
          <w:p w:rsidR="00A470F0" w:rsidRPr="00A470F0" w:rsidRDefault="00A470F0" w:rsidP="00A470F0">
            <w:pPr>
              <w:rPr>
                <w:color w:val="000000"/>
                <w:sz w:val="18"/>
                <w:szCs w:val="18"/>
                <w:lang w:val="en-US"/>
              </w:rPr>
            </w:pPr>
            <w:r w:rsidRPr="00A470F0">
              <w:rPr>
                <w:color w:val="000000"/>
                <w:sz w:val="18"/>
                <w:szCs w:val="18"/>
                <w:lang w:val="en-US"/>
              </w:rPr>
              <w:t xml:space="preserve">• </w:t>
            </w:r>
            <w:proofErr w:type="gramStart"/>
            <w:r w:rsidRPr="00A470F0">
              <w:rPr>
                <w:color w:val="000000"/>
                <w:sz w:val="18"/>
                <w:szCs w:val="18"/>
                <w:lang w:val="en-US"/>
              </w:rPr>
              <w:t>new</w:t>
            </w:r>
            <w:proofErr w:type="gramEnd"/>
            <w:r w:rsidRPr="00A470F0">
              <w:rPr>
                <w:color w:val="000000"/>
                <w:sz w:val="18"/>
                <w:szCs w:val="18"/>
                <w:lang w:val="en-US"/>
              </w:rPr>
              <w:t xml:space="preserve"> facilities were commissioned as part of the investment programs of Samruk-Energy.</w:t>
            </w:r>
          </w:p>
        </w:tc>
        <w:tc>
          <w:tcPr>
            <w:tcW w:w="1559" w:type="dxa"/>
            <w:shd w:val="clear" w:color="000000" w:fill="FFFFFF"/>
            <w:vAlign w:val="center"/>
          </w:tcPr>
          <w:p w:rsidR="00A470F0" w:rsidRPr="00543A3D" w:rsidRDefault="00A470F0" w:rsidP="00300106">
            <w:pPr>
              <w:jc w:val="center"/>
              <w:rPr>
                <w:sz w:val="18"/>
                <w:szCs w:val="18"/>
              </w:rPr>
            </w:pPr>
            <w:r w:rsidRPr="00543A3D">
              <w:rPr>
                <w:sz w:val="18"/>
                <w:szCs w:val="18"/>
              </w:rPr>
              <w:t>-1,0</w:t>
            </w:r>
          </w:p>
        </w:tc>
      </w:tr>
      <w:tr w:rsidR="00A470F0" w:rsidRPr="00827B45" w:rsidTr="00342EBF">
        <w:trPr>
          <w:trHeight w:val="272"/>
        </w:trPr>
        <w:tc>
          <w:tcPr>
            <w:tcW w:w="8223" w:type="dxa"/>
            <w:shd w:val="clear" w:color="000000" w:fill="FFFFFF"/>
            <w:noWrap/>
          </w:tcPr>
          <w:p w:rsidR="00A470F0" w:rsidRPr="00A470F0" w:rsidRDefault="00A470F0" w:rsidP="00A470F0">
            <w:pPr>
              <w:rPr>
                <w:b/>
                <w:color w:val="000000"/>
                <w:sz w:val="18"/>
                <w:szCs w:val="18"/>
                <w:lang w:val="en-US"/>
              </w:rPr>
            </w:pPr>
            <w:r w:rsidRPr="00A470F0">
              <w:rPr>
                <w:b/>
                <w:color w:val="000000"/>
                <w:sz w:val="18"/>
                <w:szCs w:val="18"/>
                <w:lang w:val="en-US"/>
              </w:rPr>
              <w:t>Provision for doubtful debts</w:t>
            </w:r>
          </w:p>
          <w:p w:rsidR="00A470F0" w:rsidRPr="00A470F0" w:rsidRDefault="00A470F0" w:rsidP="00A470F0">
            <w:pPr>
              <w:rPr>
                <w:color w:val="000000"/>
                <w:sz w:val="18"/>
                <w:szCs w:val="18"/>
                <w:lang w:val="en-US"/>
              </w:rPr>
            </w:pPr>
            <w:r w:rsidRPr="00A470F0">
              <w:rPr>
                <w:color w:val="000000"/>
                <w:sz w:val="18"/>
                <w:szCs w:val="18"/>
                <w:lang w:val="en-US"/>
              </w:rPr>
              <w:t>• accrual of provisions for doubtful accounts receivable of “</w:t>
            </w:r>
            <w:proofErr w:type="spellStart"/>
            <w:r w:rsidRPr="00A470F0">
              <w:rPr>
                <w:color w:val="000000"/>
                <w:sz w:val="18"/>
                <w:szCs w:val="18"/>
                <w:lang w:val="en-US"/>
              </w:rPr>
              <w:t>Uzbekenergo</w:t>
            </w:r>
            <w:proofErr w:type="spellEnd"/>
            <w:r w:rsidRPr="00A470F0">
              <w:rPr>
                <w:color w:val="000000"/>
                <w:sz w:val="18"/>
                <w:szCs w:val="18"/>
                <w:lang w:val="en-US"/>
              </w:rPr>
              <w:t>” SJSC</w:t>
            </w:r>
          </w:p>
        </w:tc>
        <w:tc>
          <w:tcPr>
            <w:tcW w:w="1559" w:type="dxa"/>
            <w:shd w:val="clear" w:color="000000" w:fill="FFFFFF"/>
            <w:vAlign w:val="center"/>
          </w:tcPr>
          <w:p w:rsidR="00A470F0" w:rsidRPr="00543A3D" w:rsidRDefault="00A470F0" w:rsidP="00300106">
            <w:pPr>
              <w:jc w:val="center"/>
              <w:rPr>
                <w:sz w:val="18"/>
                <w:szCs w:val="18"/>
              </w:rPr>
            </w:pPr>
            <w:r w:rsidRPr="00543A3D">
              <w:rPr>
                <w:sz w:val="18"/>
                <w:szCs w:val="18"/>
              </w:rPr>
              <w:t>-0,9</w:t>
            </w:r>
          </w:p>
        </w:tc>
      </w:tr>
      <w:tr w:rsidR="00A470F0" w:rsidRPr="00342EBF" w:rsidTr="00300106">
        <w:trPr>
          <w:trHeight w:val="272"/>
        </w:trPr>
        <w:tc>
          <w:tcPr>
            <w:tcW w:w="8223" w:type="dxa"/>
            <w:shd w:val="clear" w:color="000000" w:fill="FFFFFF"/>
            <w:noWrap/>
          </w:tcPr>
          <w:p w:rsidR="00A470F0" w:rsidRPr="00A470F0" w:rsidRDefault="00A470F0" w:rsidP="00A470F0">
            <w:pPr>
              <w:rPr>
                <w:b/>
                <w:color w:val="000000"/>
                <w:sz w:val="18"/>
                <w:szCs w:val="18"/>
                <w:lang w:val="en-US"/>
              </w:rPr>
            </w:pPr>
            <w:r w:rsidRPr="00A470F0">
              <w:rPr>
                <w:b/>
                <w:color w:val="000000"/>
                <w:sz w:val="18"/>
                <w:szCs w:val="18"/>
                <w:lang w:val="en-US"/>
              </w:rPr>
              <w:t>Share of income of associates and jointly-controlled entities</w:t>
            </w:r>
          </w:p>
          <w:p w:rsidR="005940A2" w:rsidRPr="005940A2" w:rsidRDefault="00A470F0" w:rsidP="005940A2">
            <w:pPr>
              <w:rPr>
                <w:color w:val="000000"/>
                <w:sz w:val="18"/>
                <w:szCs w:val="18"/>
                <w:lang w:val="en-US"/>
              </w:rPr>
            </w:pPr>
            <w:r w:rsidRPr="00A470F0">
              <w:rPr>
                <w:color w:val="000000"/>
                <w:sz w:val="18"/>
                <w:szCs w:val="18"/>
                <w:lang w:val="en-US"/>
              </w:rPr>
              <w:lastRenderedPageBreak/>
              <w:t xml:space="preserve">• </w:t>
            </w:r>
            <w:r w:rsidR="005940A2" w:rsidRPr="005940A2">
              <w:rPr>
                <w:color w:val="000000"/>
                <w:sz w:val="18"/>
                <w:szCs w:val="18"/>
                <w:lang w:val="en-US"/>
              </w:rPr>
              <w:t>increase in net profit of “</w:t>
            </w:r>
            <w:proofErr w:type="spellStart"/>
            <w:r w:rsidR="005940A2" w:rsidRPr="005940A2">
              <w:rPr>
                <w:color w:val="000000"/>
                <w:sz w:val="18"/>
                <w:szCs w:val="18"/>
                <w:lang w:val="en-US"/>
              </w:rPr>
              <w:t>Ekibastuzskaya</w:t>
            </w:r>
            <w:proofErr w:type="spellEnd"/>
            <w:r w:rsidR="005940A2" w:rsidRPr="005940A2">
              <w:rPr>
                <w:color w:val="000000"/>
                <w:sz w:val="18"/>
                <w:szCs w:val="18"/>
                <w:lang w:val="en-US"/>
              </w:rPr>
              <w:t xml:space="preserve"> GRES-1 named after </w:t>
            </w:r>
            <w:proofErr w:type="spellStart"/>
            <w:r w:rsidR="005940A2" w:rsidRPr="005940A2">
              <w:rPr>
                <w:color w:val="000000"/>
                <w:sz w:val="18"/>
                <w:szCs w:val="18"/>
                <w:lang w:val="en-US"/>
              </w:rPr>
              <w:t>Bulat</w:t>
            </w:r>
            <w:proofErr w:type="spellEnd"/>
            <w:r w:rsidR="005940A2" w:rsidRPr="005940A2">
              <w:rPr>
                <w:color w:val="000000"/>
                <w:sz w:val="18"/>
                <w:szCs w:val="18"/>
                <w:lang w:val="en-US"/>
              </w:rPr>
              <w:t xml:space="preserve"> </w:t>
            </w:r>
            <w:proofErr w:type="spellStart"/>
            <w:r w:rsidR="005940A2" w:rsidRPr="005940A2">
              <w:rPr>
                <w:color w:val="000000"/>
                <w:sz w:val="18"/>
                <w:szCs w:val="18"/>
                <w:lang w:val="en-US"/>
              </w:rPr>
              <w:t>Nurzhanov</w:t>
            </w:r>
            <w:proofErr w:type="spellEnd"/>
            <w:r w:rsidR="005940A2" w:rsidRPr="005940A2">
              <w:rPr>
                <w:color w:val="000000"/>
                <w:sz w:val="18"/>
                <w:szCs w:val="18"/>
                <w:lang w:val="en-US"/>
              </w:rPr>
              <w:t xml:space="preserve">” LLP by KZT 2.6 </w:t>
            </w:r>
            <w:proofErr w:type="spellStart"/>
            <w:r w:rsidR="005940A2" w:rsidRPr="005940A2">
              <w:rPr>
                <w:color w:val="000000"/>
                <w:sz w:val="18"/>
                <w:szCs w:val="18"/>
                <w:lang w:val="en-US"/>
              </w:rPr>
              <w:t>bln</w:t>
            </w:r>
            <w:proofErr w:type="spellEnd"/>
            <w:r w:rsidR="005940A2" w:rsidRPr="005940A2">
              <w:rPr>
                <w:color w:val="000000"/>
                <w:sz w:val="18"/>
                <w:szCs w:val="18"/>
                <w:lang w:val="en-US"/>
              </w:rPr>
              <w:t xml:space="preserve"> by increasing the tariff for sale of electricity from the 2nd quarter of the reporting period;</w:t>
            </w:r>
          </w:p>
          <w:p w:rsidR="005940A2" w:rsidRPr="005940A2" w:rsidRDefault="005940A2" w:rsidP="005940A2">
            <w:pPr>
              <w:rPr>
                <w:color w:val="000000"/>
                <w:sz w:val="18"/>
                <w:szCs w:val="18"/>
                <w:lang w:val="en-US"/>
              </w:rPr>
            </w:pPr>
            <w:r w:rsidRPr="00A470F0">
              <w:rPr>
                <w:color w:val="000000"/>
                <w:sz w:val="18"/>
                <w:szCs w:val="18"/>
                <w:lang w:val="en-US"/>
              </w:rPr>
              <w:t xml:space="preserve">• </w:t>
            </w:r>
            <w:r w:rsidRPr="005940A2">
              <w:rPr>
                <w:color w:val="000000"/>
                <w:sz w:val="18"/>
                <w:szCs w:val="18"/>
                <w:lang w:val="en-US"/>
              </w:rPr>
              <w:t xml:space="preserve">decrease in net income for Company “Forum Muider BV” by 32% or KZT 1.3 </w:t>
            </w:r>
            <w:proofErr w:type="spellStart"/>
            <w:r w:rsidRPr="005940A2">
              <w:rPr>
                <w:color w:val="000000"/>
                <w:sz w:val="18"/>
                <w:szCs w:val="18"/>
                <w:lang w:val="en-US"/>
              </w:rPr>
              <w:t>bln</w:t>
            </w:r>
            <w:proofErr w:type="spellEnd"/>
            <w:r w:rsidRPr="005940A2">
              <w:rPr>
                <w:color w:val="000000"/>
                <w:sz w:val="18"/>
                <w:szCs w:val="18"/>
                <w:lang w:val="en-US"/>
              </w:rPr>
              <w:t xml:space="preserve"> due to increased cost of production of coal;</w:t>
            </w:r>
          </w:p>
          <w:p w:rsidR="00A470F0" w:rsidRPr="005940A2" w:rsidRDefault="005940A2" w:rsidP="005940A2">
            <w:pPr>
              <w:rPr>
                <w:color w:val="000000"/>
                <w:sz w:val="18"/>
                <w:szCs w:val="18"/>
                <w:lang w:val="en-US"/>
              </w:rPr>
            </w:pPr>
            <w:r w:rsidRPr="00A470F0">
              <w:rPr>
                <w:color w:val="000000"/>
                <w:sz w:val="18"/>
                <w:szCs w:val="18"/>
                <w:lang w:val="en-US"/>
              </w:rPr>
              <w:t xml:space="preserve">• </w:t>
            </w:r>
            <w:r w:rsidRPr="005940A2">
              <w:rPr>
                <w:color w:val="000000"/>
                <w:sz w:val="18"/>
                <w:szCs w:val="18"/>
                <w:lang w:val="en-US"/>
              </w:rPr>
              <w:t>decrease in net income of JSC “</w:t>
            </w:r>
            <w:proofErr w:type="spellStart"/>
            <w:r w:rsidRPr="005940A2">
              <w:rPr>
                <w:color w:val="000000"/>
                <w:sz w:val="18"/>
                <w:szCs w:val="18"/>
                <w:lang w:val="en-US"/>
              </w:rPr>
              <w:t>Ekibastuzskaya</w:t>
            </w:r>
            <w:proofErr w:type="spellEnd"/>
            <w:r w:rsidRPr="005940A2">
              <w:rPr>
                <w:color w:val="000000"/>
                <w:sz w:val="18"/>
                <w:szCs w:val="18"/>
                <w:lang w:val="en-US"/>
              </w:rPr>
              <w:t xml:space="preserve"> GRES-2”</w:t>
            </w:r>
            <w:r>
              <w:rPr>
                <w:color w:val="000000"/>
                <w:sz w:val="18"/>
                <w:szCs w:val="18"/>
                <w:lang w:val="en-US"/>
              </w:rPr>
              <w:t xml:space="preserve"> </w:t>
            </w:r>
            <w:r w:rsidRPr="005940A2">
              <w:rPr>
                <w:color w:val="000000"/>
                <w:sz w:val="18"/>
                <w:szCs w:val="18"/>
                <w:lang w:val="en-US"/>
              </w:rPr>
              <w:t xml:space="preserve">by reducing power generation due to the ongoing capital works on generating unit 1. </w:t>
            </w:r>
          </w:p>
        </w:tc>
        <w:tc>
          <w:tcPr>
            <w:tcW w:w="1559" w:type="dxa"/>
            <w:shd w:val="clear" w:color="000000" w:fill="FFFFFF"/>
            <w:vAlign w:val="center"/>
          </w:tcPr>
          <w:p w:rsidR="00A470F0" w:rsidRPr="00543A3D" w:rsidRDefault="000004EB" w:rsidP="00300106">
            <w:pPr>
              <w:jc w:val="center"/>
              <w:rPr>
                <w:sz w:val="18"/>
                <w:szCs w:val="18"/>
              </w:rPr>
            </w:pPr>
            <w:r>
              <w:rPr>
                <w:sz w:val="18"/>
                <w:szCs w:val="18"/>
              </w:rPr>
              <w:lastRenderedPageBreak/>
              <w:t>1.0</w:t>
            </w:r>
          </w:p>
        </w:tc>
      </w:tr>
      <w:tr w:rsidR="00A470F0" w:rsidRPr="00827B45" w:rsidTr="00770BC8">
        <w:trPr>
          <w:trHeight w:val="272"/>
        </w:trPr>
        <w:tc>
          <w:tcPr>
            <w:tcW w:w="8223" w:type="dxa"/>
            <w:shd w:val="clear" w:color="000000" w:fill="FFFFFF"/>
            <w:noWrap/>
            <w:vAlign w:val="center"/>
          </w:tcPr>
          <w:p w:rsidR="00A470F0" w:rsidRDefault="00A470F0" w:rsidP="00770BC8">
            <w:pPr>
              <w:ind w:firstLineChars="17" w:firstLine="31"/>
              <w:rPr>
                <w:b/>
                <w:color w:val="000000"/>
                <w:sz w:val="18"/>
                <w:szCs w:val="18"/>
                <w:lang w:val="en-US"/>
              </w:rPr>
            </w:pPr>
            <w:r>
              <w:rPr>
                <w:b/>
                <w:color w:val="000000"/>
                <w:sz w:val="18"/>
                <w:szCs w:val="18"/>
                <w:lang w:val="en-US"/>
              </w:rPr>
              <w:lastRenderedPageBreak/>
              <w:t>Others</w:t>
            </w:r>
          </w:p>
        </w:tc>
        <w:tc>
          <w:tcPr>
            <w:tcW w:w="1559" w:type="dxa"/>
            <w:shd w:val="clear" w:color="000000" w:fill="FFFFFF"/>
            <w:vAlign w:val="center"/>
          </w:tcPr>
          <w:p w:rsidR="00A470F0" w:rsidRPr="000004EB" w:rsidRDefault="00A470F0" w:rsidP="000004EB">
            <w:pPr>
              <w:jc w:val="center"/>
              <w:rPr>
                <w:sz w:val="18"/>
                <w:szCs w:val="18"/>
              </w:rPr>
            </w:pPr>
            <w:r w:rsidRPr="00C82E8B">
              <w:rPr>
                <w:sz w:val="18"/>
                <w:szCs w:val="18"/>
              </w:rPr>
              <w:t>-</w:t>
            </w:r>
            <w:r>
              <w:rPr>
                <w:sz w:val="18"/>
                <w:szCs w:val="18"/>
                <w:lang w:val="en-US"/>
              </w:rPr>
              <w:t>0.</w:t>
            </w:r>
            <w:r w:rsidR="000004EB">
              <w:rPr>
                <w:sz w:val="18"/>
                <w:szCs w:val="18"/>
              </w:rPr>
              <w:t>4</w:t>
            </w:r>
          </w:p>
        </w:tc>
      </w:tr>
    </w:tbl>
    <w:p w:rsidR="00CF5769" w:rsidRDefault="00CF5769" w:rsidP="00327BD8">
      <w:pPr>
        <w:tabs>
          <w:tab w:val="left" w:pos="426"/>
        </w:tabs>
        <w:autoSpaceDE w:val="0"/>
        <w:autoSpaceDN w:val="0"/>
        <w:adjustRightInd w:val="0"/>
        <w:ind w:left="-709" w:firstLine="709"/>
        <w:jc w:val="both"/>
        <w:rPr>
          <w:sz w:val="22"/>
          <w:szCs w:val="22"/>
        </w:rPr>
      </w:pP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The unplanned </w:t>
      </w:r>
      <w:proofErr w:type="spellStart"/>
      <w:r>
        <w:rPr>
          <w:sz w:val="22"/>
          <w:szCs w:val="22"/>
          <w:lang w:val="en-US"/>
        </w:rPr>
        <w:t>outfeed</w:t>
      </w:r>
      <w:proofErr w:type="spellEnd"/>
      <w:r w:rsidRPr="00327BD8">
        <w:rPr>
          <w:sz w:val="22"/>
          <w:szCs w:val="22"/>
          <w:lang w:val="en-US"/>
        </w:rPr>
        <w:t xml:space="preserve"> </w:t>
      </w:r>
      <w:r>
        <w:rPr>
          <w:sz w:val="22"/>
          <w:szCs w:val="22"/>
          <w:lang w:val="en-US"/>
        </w:rPr>
        <w:t xml:space="preserve">of </w:t>
      </w:r>
      <w:r w:rsidRPr="00327BD8">
        <w:rPr>
          <w:sz w:val="22"/>
          <w:szCs w:val="22"/>
          <w:lang w:val="en-US"/>
        </w:rPr>
        <w:t xml:space="preserve">electricity </w:t>
      </w:r>
      <w:r>
        <w:rPr>
          <w:sz w:val="22"/>
          <w:szCs w:val="22"/>
          <w:lang w:val="en-US"/>
        </w:rPr>
        <w:t xml:space="preserve">from the </w:t>
      </w:r>
      <w:r w:rsidRPr="00327BD8">
        <w:rPr>
          <w:sz w:val="22"/>
          <w:szCs w:val="22"/>
          <w:lang w:val="en-US"/>
        </w:rPr>
        <w:t xml:space="preserve">energy system of Uzbekistan </w:t>
      </w:r>
      <w:r>
        <w:rPr>
          <w:sz w:val="22"/>
          <w:szCs w:val="22"/>
          <w:lang w:val="en-US"/>
        </w:rPr>
        <w:t>amounted to</w:t>
      </w:r>
      <w:r w:rsidRPr="00327BD8">
        <w:rPr>
          <w:sz w:val="22"/>
          <w:szCs w:val="22"/>
          <w:lang w:val="en-US"/>
        </w:rPr>
        <w:t xml:space="preserve"> 0.4 billion </w:t>
      </w:r>
      <w:r>
        <w:rPr>
          <w:sz w:val="22"/>
          <w:szCs w:val="22"/>
          <w:lang w:val="en-US"/>
        </w:rPr>
        <w:t>kWh</w:t>
      </w:r>
      <w:r w:rsidRPr="00327BD8">
        <w:rPr>
          <w:sz w:val="22"/>
          <w:szCs w:val="22"/>
          <w:lang w:val="en-US"/>
        </w:rPr>
        <w:t xml:space="preserve"> during the period</w:t>
      </w:r>
      <w:r>
        <w:rPr>
          <w:sz w:val="22"/>
          <w:szCs w:val="22"/>
          <w:lang w:val="en-US"/>
        </w:rPr>
        <w:t>,</w:t>
      </w:r>
      <w:r w:rsidRPr="00327BD8">
        <w:rPr>
          <w:sz w:val="22"/>
          <w:szCs w:val="22"/>
          <w:lang w:val="en-US"/>
        </w:rPr>
        <w:t xml:space="preserve"> in </w:t>
      </w:r>
      <w:r>
        <w:rPr>
          <w:sz w:val="22"/>
          <w:szCs w:val="22"/>
          <w:lang w:val="en-US"/>
        </w:rPr>
        <w:t xml:space="preserve">this </w:t>
      </w:r>
      <w:r w:rsidRPr="00327BD8">
        <w:rPr>
          <w:sz w:val="22"/>
          <w:szCs w:val="22"/>
          <w:lang w:val="en-US"/>
        </w:rPr>
        <w:t xml:space="preserve">connection </w:t>
      </w:r>
      <w:r>
        <w:rPr>
          <w:sz w:val="22"/>
          <w:szCs w:val="22"/>
          <w:lang w:val="en-US"/>
        </w:rPr>
        <w:t>the provision</w:t>
      </w:r>
      <w:r w:rsidRPr="00327BD8">
        <w:rPr>
          <w:sz w:val="22"/>
          <w:szCs w:val="22"/>
          <w:lang w:val="en-US"/>
        </w:rPr>
        <w:t xml:space="preserve"> </w:t>
      </w:r>
      <w:r>
        <w:rPr>
          <w:sz w:val="22"/>
          <w:szCs w:val="22"/>
          <w:lang w:val="en-US"/>
        </w:rPr>
        <w:t xml:space="preserve">was </w:t>
      </w:r>
      <w:r w:rsidRPr="00327BD8">
        <w:rPr>
          <w:sz w:val="22"/>
          <w:szCs w:val="22"/>
          <w:lang w:val="en-US"/>
        </w:rPr>
        <w:t xml:space="preserve">accrued in the amount of </w:t>
      </w:r>
      <w:r>
        <w:rPr>
          <w:sz w:val="22"/>
          <w:szCs w:val="22"/>
          <w:lang w:val="en-US"/>
        </w:rPr>
        <w:t xml:space="preserve">KZT </w:t>
      </w:r>
      <w:r w:rsidRPr="00327BD8">
        <w:rPr>
          <w:sz w:val="22"/>
          <w:szCs w:val="22"/>
          <w:lang w:val="en-US"/>
        </w:rPr>
        <w:t>0.9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Pr>
          <w:sz w:val="22"/>
          <w:szCs w:val="22"/>
          <w:lang w:val="en-US"/>
        </w:rPr>
        <w:t xml:space="preserve">A </w:t>
      </w:r>
      <w:r w:rsidRPr="00327BD8">
        <w:rPr>
          <w:sz w:val="22"/>
          <w:szCs w:val="22"/>
          <w:lang w:val="en-US"/>
        </w:rPr>
        <w:t>number of companies</w:t>
      </w:r>
      <w:r>
        <w:rPr>
          <w:sz w:val="22"/>
          <w:szCs w:val="22"/>
          <w:lang w:val="en-US"/>
        </w:rPr>
        <w:t xml:space="preserve"> of the</w:t>
      </w:r>
      <w:r w:rsidRPr="00327BD8">
        <w:rPr>
          <w:sz w:val="22"/>
          <w:szCs w:val="22"/>
          <w:lang w:val="en-US"/>
        </w:rPr>
        <w:t xml:space="preserve"> segment conduct preparatory work on transfer of shares on the stock market under the </w:t>
      </w:r>
      <w:r>
        <w:rPr>
          <w:sz w:val="22"/>
          <w:szCs w:val="22"/>
          <w:lang w:val="en-US"/>
        </w:rPr>
        <w:t>“</w:t>
      </w:r>
      <w:r w:rsidRPr="00327BD8">
        <w:rPr>
          <w:sz w:val="22"/>
          <w:szCs w:val="22"/>
          <w:lang w:val="en-US"/>
        </w:rPr>
        <w:t>People's IPO</w:t>
      </w:r>
      <w:r>
        <w:rPr>
          <w:sz w:val="22"/>
          <w:szCs w:val="22"/>
          <w:lang w:val="en-US"/>
        </w:rPr>
        <w:t>” program</w:t>
      </w:r>
      <w:r w:rsidRPr="00327BD8">
        <w:rPr>
          <w:sz w:val="22"/>
          <w:szCs w:val="22"/>
          <w:lang w:val="en-US"/>
        </w:rPr>
        <w:t>.</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b/>
          <w:sz w:val="22"/>
          <w:szCs w:val="22"/>
          <w:lang w:val="en-US"/>
        </w:rPr>
        <w:t>Capital costs</w:t>
      </w:r>
      <w:r w:rsidRPr="00327BD8">
        <w:rPr>
          <w:sz w:val="22"/>
          <w:szCs w:val="22"/>
          <w:lang w:val="en-US"/>
        </w:rPr>
        <w:t xml:space="preserve"> for this segment in the reporting period amounted to </w:t>
      </w:r>
      <w:r w:rsidRPr="00327BD8">
        <w:rPr>
          <w:b/>
          <w:sz w:val="22"/>
          <w:szCs w:val="22"/>
          <w:lang w:val="en-US"/>
        </w:rPr>
        <w:t>KZT 22.0 billion</w:t>
      </w:r>
      <w:r w:rsidRPr="00327BD8">
        <w:rPr>
          <w:sz w:val="22"/>
          <w:szCs w:val="22"/>
          <w:lang w:val="en-US"/>
        </w:rPr>
        <w:t xml:space="preserve">, including for maintenance of production assets and other fixed assets </w:t>
      </w:r>
      <w:r>
        <w:rPr>
          <w:sz w:val="22"/>
          <w:szCs w:val="22"/>
          <w:lang w:val="en-US"/>
        </w:rPr>
        <w:t>–</w:t>
      </w:r>
      <w:r w:rsidRPr="00327BD8">
        <w:rPr>
          <w:sz w:val="22"/>
          <w:szCs w:val="22"/>
          <w:lang w:val="en-US"/>
        </w:rPr>
        <w:t xml:space="preserve"> </w:t>
      </w:r>
      <w:r>
        <w:rPr>
          <w:sz w:val="22"/>
          <w:szCs w:val="22"/>
          <w:lang w:val="en-US"/>
        </w:rPr>
        <w:t xml:space="preserve">KZT </w:t>
      </w:r>
      <w:r w:rsidRPr="00327BD8">
        <w:rPr>
          <w:sz w:val="22"/>
          <w:szCs w:val="22"/>
          <w:lang w:val="en-US"/>
        </w:rPr>
        <w:t xml:space="preserve">6.9 </w:t>
      </w:r>
      <w:r>
        <w:rPr>
          <w:sz w:val="22"/>
          <w:szCs w:val="22"/>
          <w:lang w:val="en-US"/>
        </w:rPr>
        <w:t>billion</w:t>
      </w:r>
      <w:r w:rsidRPr="00327BD8">
        <w:rPr>
          <w:sz w:val="22"/>
          <w:szCs w:val="22"/>
          <w:lang w:val="en-US"/>
        </w:rPr>
        <w:t xml:space="preserve"> and </w:t>
      </w:r>
      <w:r>
        <w:rPr>
          <w:sz w:val="22"/>
          <w:szCs w:val="22"/>
          <w:lang w:val="en-US"/>
        </w:rPr>
        <w:t xml:space="preserve">for </w:t>
      </w:r>
      <w:r w:rsidRPr="00327BD8">
        <w:rPr>
          <w:sz w:val="22"/>
          <w:szCs w:val="22"/>
          <w:lang w:val="en-US"/>
        </w:rPr>
        <w:t xml:space="preserve">development </w:t>
      </w:r>
      <w:r>
        <w:rPr>
          <w:sz w:val="22"/>
          <w:szCs w:val="22"/>
          <w:lang w:val="en-US"/>
        </w:rPr>
        <w:t>–</w:t>
      </w:r>
      <w:r w:rsidRPr="00327BD8">
        <w:rPr>
          <w:sz w:val="22"/>
          <w:szCs w:val="22"/>
          <w:lang w:val="en-US"/>
        </w:rPr>
        <w:t xml:space="preserve"> </w:t>
      </w:r>
      <w:r>
        <w:rPr>
          <w:sz w:val="22"/>
          <w:szCs w:val="22"/>
          <w:lang w:val="en-US"/>
        </w:rPr>
        <w:t xml:space="preserve">KZT </w:t>
      </w:r>
      <w:r w:rsidRPr="00327BD8">
        <w:rPr>
          <w:sz w:val="22"/>
          <w:szCs w:val="22"/>
          <w:lang w:val="en-US"/>
        </w:rPr>
        <w:t>15.1 billion. Capital expenditures were primarily focused on the following projects:</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Pr="00F3643D">
        <w:rPr>
          <w:sz w:val="22"/>
          <w:szCs w:val="22"/>
          <w:lang w:val="en-US"/>
        </w:rPr>
        <w:t>Construction of 500 kV Alma SS connected to Kazakhstan National Grid via 500, 220 kV lines</w:t>
      </w:r>
      <w:r w:rsidRPr="00327BD8">
        <w:rPr>
          <w:sz w:val="22"/>
          <w:szCs w:val="22"/>
          <w:lang w:val="en-US"/>
        </w:rPr>
        <w:t xml:space="preserve">. Capital investments for the 1st half of 2012 amounted to </w:t>
      </w:r>
      <w:r>
        <w:rPr>
          <w:sz w:val="22"/>
          <w:szCs w:val="22"/>
          <w:lang w:val="en-US"/>
        </w:rPr>
        <w:t xml:space="preserve">KZT </w:t>
      </w:r>
      <w:r w:rsidRPr="00327BD8">
        <w:rPr>
          <w:sz w:val="22"/>
          <w:szCs w:val="22"/>
          <w:lang w:val="en-US"/>
        </w:rPr>
        <w:t>0.8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proofErr w:type="gramStart"/>
      <w:r w:rsidRPr="00327BD8">
        <w:rPr>
          <w:sz w:val="22"/>
          <w:szCs w:val="22"/>
          <w:lang w:val="en-US"/>
        </w:rPr>
        <w:t xml:space="preserve">• </w:t>
      </w:r>
      <w:proofErr w:type="spellStart"/>
      <w:r w:rsidRPr="00327BD8">
        <w:rPr>
          <w:sz w:val="22"/>
          <w:szCs w:val="22"/>
          <w:lang w:val="en-US"/>
        </w:rPr>
        <w:t>Moinak</w:t>
      </w:r>
      <w:proofErr w:type="spellEnd"/>
      <w:r w:rsidRPr="00327BD8">
        <w:rPr>
          <w:sz w:val="22"/>
          <w:szCs w:val="22"/>
          <w:lang w:val="en-US"/>
        </w:rPr>
        <w:t xml:space="preserve"> Electricity Transmission.</w:t>
      </w:r>
      <w:proofErr w:type="gramEnd"/>
      <w:r w:rsidRPr="00327BD8">
        <w:rPr>
          <w:sz w:val="22"/>
          <w:szCs w:val="22"/>
          <w:lang w:val="en-US"/>
        </w:rPr>
        <w:t xml:space="preserve"> Capital investments for the 1st half of 2012 amounted to </w:t>
      </w:r>
      <w:r w:rsidR="003A0789">
        <w:rPr>
          <w:sz w:val="22"/>
          <w:szCs w:val="22"/>
          <w:lang w:val="en-US"/>
        </w:rPr>
        <w:t xml:space="preserve">KZT </w:t>
      </w:r>
      <w:r w:rsidRPr="00327BD8">
        <w:rPr>
          <w:sz w:val="22"/>
          <w:szCs w:val="22"/>
          <w:lang w:val="en-US"/>
        </w:rPr>
        <w:t>1.0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Modernization of Kazakhstan </w:t>
      </w:r>
      <w:r w:rsidR="003A0789">
        <w:rPr>
          <w:sz w:val="22"/>
          <w:szCs w:val="22"/>
          <w:lang w:val="en-US"/>
        </w:rPr>
        <w:t>NPG</w:t>
      </w:r>
      <w:r w:rsidRPr="00327BD8">
        <w:rPr>
          <w:sz w:val="22"/>
          <w:szCs w:val="22"/>
          <w:lang w:val="en-US"/>
        </w:rPr>
        <w:t xml:space="preserve">, II stage. Capital investments for the 1st half of 2012 amounted to </w:t>
      </w:r>
      <w:r w:rsidR="003A0789">
        <w:rPr>
          <w:sz w:val="22"/>
          <w:szCs w:val="22"/>
          <w:lang w:val="en-US"/>
        </w:rPr>
        <w:t xml:space="preserve">KZT </w:t>
      </w:r>
      <w:r w:rsidRPr="00327BD8">
        <w:rPr>
          <w:sz w:val="22"/>
          <w:szCs w:val="22"/>
          <w:lang w:val="en-US"/>
        </w:rPr>
        <w:t>0.6 billion;</w:t>
      </w:r>
    </w:p>
    <w:p w:rsidR="00327BD8" w:rsidRPr="00327BD8" w:rsidRDefault="003A0789" w:rsidP="00327BD8">
      <w:pPr>
        <w:tabs>
          <w:tab w:val="left" w:pos="426"/>
        </w:tabs>
        <w:autoSpaceDE w:val="0"/>
        <w:autoSpaceDN w:val="0"/>
        <w:adjustRightInd w:val="0"/>
        <w:ind w:left="-709" w:firstLine="709"/>
        <w:jc w:val="both"/>
        <w:rPr>
          <w:sz w:val="22"/>
          <w:szCs w:val="22"/>
          <w:lang w:val="en-US"/>
        </w:rPr>
      </w:pPr>
      <w:r>
        <w:rPr>
          <w:sz w:val="22"/>
          <w:szCs w:val="22"/>
          <w:lang w:val="en-US"/>
        </w:rPr>
        <w:t xml:space="preserve">• Construction </w:t>
      </w:r>
      <w:proofErr w:type="spellStart"/>
      <w:r>
        <w:rPr>
          <w:sz w:val="22"/>
          <w:szCs w:val="22"/>
          <w:lang w:val="en-US"/>
        </w:rPr>
        <w:t>Moinak</w:t>
      </w:r>
      <w:proofErr w:type="spellEnd"/>
      <w:r>
        <w:rPr>
          <w:sz w:val="22"/>
          <w:szCs w:val="22"/>
          <w:lang w:val="en-US"/>
        </w:rPr>
        <w:t xml:space="preserve"> HPP</w:t>
      </w:r>
      <w:r w:rsidR="00327BD8" w:rsidRPr="00327BD8">
        <w:rPr>
          <w:sz w:val="22"/>
          <w:szCs w:val="22"/>
          <w:lang w:val="en-US"/>
        </w:rPr>
        <w:t xml:space="preserve"> </w:t>
      </w:r>
      <w:r>
        <w:rPr>
          <w:sz w:val="22"/>
          <w:szCs w:val="22"/>
          <w:lang w:val="en-US"/>
        </w:rPr>
        <w:t>at</w:t>
      </w:r>
      <w:r w:rsidR="00327BD8" w:rsidRPr="00327BD8">
        <w:rPr>
          <w:sz w:val="22"/>
          <w:szCs w:val="22"/>
          <w:lang w:val="en-US"/>
        </w:rPr>
        <w:t xml:space="preserve"> the </w:t>
      </w:r>
      <w:proofErr w:type="spellStart"/>
      <w:r w:rsidRPr="00327BD8">
        <w:rPr>
          <w:sz w:val="22"/>
          <w:szCs w:val="22"/>
          <w:lang w:val="en-US"/>
        </w:rPr>
        <w:t>Charyn</w:t>
      </w:r>
      <w:proofErr w:type="spellEnd"/>
      <w:r w:rsidRPr="00327BD8">
        <w:rPr>
          <w:sz w:val="22"/>
          <w:szCs w:val="22"/>
          <w:lang w:val="en-US"/>
        </w:rPr>
        <w:t xml:space="preserve"> </w:t>
      </w:r>
      <w:r w:rsidR="00F73977" w:rsidRPr="00327BD8">
        <w:rPr>
          <w:sz w:val="22"/>
          <w:szCs w:val="22"/>
          <w:lang w:val="en-US"/>
        </w:rPr>
        <w:t>River</w:t>
      </w:r>
      <w:r w:rsidR="00F73977">
        <w:rPr>
          <w:sz w:val="22"/>
          <w:szCs w:val="22"/>
          <w:lang w:val="en-US"/>
        </w:rPr>
        <w:t>,</w:t>
      </w:r>
      <w:r w:rsidR="00327BD8" w:rsidRPr="00327BD8">
        <w:rPr>
          <w:sz w:val="22"/>
          <w:szCs w:val="22"/>
          <w:lang w:val="en-US"/>
        </w:rPr>
        <w:t xml:space="preserve"> 300 MW. Capital investments for the 1st half of 2012 amounted to </w:t>
      </w:r>
      <w:r>
        <w:rPr>
          <w:sz w:val="22"/>
          <w:szCs w:val="22"/>
          <w:lang w:val="en-US"/>
        </w:rPr>
        <w:t xml:space="preserve">KZT </w:t>
      </w:r>
      <w:r w:rsidR="00327BD8" w:rsidRPr="00327BD8">
        <w:rPr>
          <w:sz w:val="22"/>
          <w:szCs w:val="22"/>
          <w:lang w:val="en-US"/>
        </w:rPr>
        <w:t>2.2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003A0789">
        <w:rPr>
          <w:sz w:val="22"/>
          <w:szCs w:val="22"/>
          <w:lang w:val="en-US"/>
        </w:rPr>
        <w:t>C</w:t>
      </w:r>
      <w:r w:rsidRPr="00327BD8">
        <w:rPr>
          <w:sz w:val="22"/>
          <w:szCs w:val="22"/>
          <w:lang w:val="en-US"/>
        </w:rPr>
        <w:t xml:space="preserve">onstruction of Balkhash Thermal Power Plant. Capital investments for the 1st half of 2012 amounted to </w:t>
      </w:r>
      <w:r w:rsidR="003A0789">
        <w:rPr>
          <w:sz w:val="22"/>
          <w:szCs w:val="22"/>
          <w:lang w:val="en-US"/>
        </w:rPr>
        <w:t xml:space="preserve">KZT </w:t>
      </w:r>
      <w:r w:rsidRPr="00327BD8">
        <w:rPr>
          <w:sz w:val="22"/>
          <w:szCs w:val="22"/>
          <w:lang w:val="en-US"/>
        </w:rPr>
        <w:t>0.1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00FE3440" w:rsidRPr="00AC5873">
        <w:rPr>
          <w:sz w:val="22"/>
          <w:szCs w:val="22"/>
          <w:lang w:val="en-US"/>
        </w:rPr>
        <w:t xml:space="preserve">Expansion and reconstruction of </w:t>
      </w:r>
      <w:r w:rsidR="00FE3440">
        <w:rPr>
          <w:sz w:val="22"/>
          <w:szCs w:val="22"/>
          <w:lang w:val="en-US"/>
        </w:rPr>
        <w:t>E</w:t>
      </w:r>
      <w:r w:rsidR="00FE3440" w:rsidRPr="00AC5873">
        <w:rPr>
          <w:sz w:val="22"/>
          <w:szCs w:val="22"/>
          <w:lang w:val="en-US"/>
        </w:rPr>
        <w:t xml:space="preserve">GRES-2 </w:t>
      </w:r>
      <w:r w:rsidR="00FE3440">
        <w:rPr>
          <w:sz w:val="22"/>
          <w:szCs w:val="22"/>
          <w:lang w:val="en-US"/>
        </w:rPr>
        <w:t>with installation of a generating unit of</w:t>
      </w:r>
      <w:r w:rsidR="00FE3440" w:rsidRPr="00AC5873">
        <w:rPr>
          <w:sz w:val="22"/>
          <w:szCs w:val="22"/>
          <w:lang w:val="en-US"/>
        </w:rPr>
        <w:t xml:space="preserve"> station </w:t>
      </w:r>
      <w:r w:rsidR="00FE3440">
        <w:rPr>
          <w:sz w:val="22"/>
          <w:szCs w:val="22"/>
          <w:lang w:val="en-US"/>
        </w:rPr>
        <w:t>#</w:t>
      </w:r>
      <w:r w:rsidR="00FE3440" w:rsidRPr="00AC5873">
        <w:rPr>
          <w:sz w:val="22"/>
          <w:szCs w:val="22"/>
          <w:lang w:val="en-US"/>
        </w:rPr>
        <w:t xml:space="preserve"> 3</w:t>
      </w:r>
      <w:r w:rsidRPr="00327BD8">
        <w:rPr>
          <w:sz w:val="22"/>
          <w:szCs w:val="22"/>
          <w:lang w:val="en-US"/>
        </w:rPr>
        <w:t xml:space="preserve">. Capital investments for the 1st half of 2012 amounted to </w:t>
      </w:r>
      <w:r w:rsidR="00FE3440">
        <w:rPr>
          <w:sz w:val="22"/>
          <w:szCs w:val="22"/>
          <w:lang w:val="en-US"/>
        </w:rPr>
        <w:t xml:space="preserve">KZT </w:t>
      </w:r>
      <w:r w:rsidRPr="00327BD8">
        <w:rPr>
          <w:sz w:val="22"/>
          <w:szCs w:val="22"/>
          <w:lang w:val="en-US"/>
        </w:rPr>
        <w:t>0.4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Upgrading </w:t>
      </w:r>
      <w:proofErr w:type="spellStart"/>
      <w:r w:rsidRPr="00327BD8">
        <w:rPr>
          <w:sz w:val="22"/>
          <w:szCs w:val="22"/>
          <w:lang w:val="en-US"/>
        </w:rPr>
        <w:t>Shardarinisk</w:t>
      </w:r>
      <w:r w:rsidR="00FE3440">
        <w:rPr>
          <w:sz w:val="22"/>
          <w:szCs w:val="22"/>
          <w:lang w:val="en-US"/>
        </w:rPr>
        <w:t>aya</w:t>
      </w:r>
      <w:proofErr w:type="spellEnd"/>
      <w:r w:rsidRPr="00327BD8">
        <w:rPr>
          <w:sz w:val="22"/>
          <w:szCs w:val="22"/>
          <w:lang w:val="en-US"/>
        </w:rPr>
        <w:t xml:space="preserve"> HPP. Capital investments for the 1st half of 2012 amounted to </w:t>
      </w:r>
      <w:r w:rsidR="00FE3440">
        <w:rPr>
          <w:sz w:val="22"/>
          <w:szCs w:val="22"/>
          <w:lang w:val="en-US"/>
        </w:rPr>
        <w:t xml:space="preserve">KZT </w:t>
      </w:r>
      <w:r w:rsidRPr="00327BD8">
        <w:rPr>
          <w:sz w:val="22"/>
          <w:szCs w:val="22"/>
          <w:lang w:val="en-US"/>
        </w:rPr>
        <w:t>0.2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00FE3440" w:rsidRPr="00CD660B">
        <w:rPr>
          <w:sz w:val="22"/>
          <w:szCs w:val="22"/>
          <w:lang w:val="en-US"/>
        </w:rPr>
        <w:t xml:space="preserve">Construction of substations of </w:t>
      </w:r>
      <w:proofErr w:type="spellStart"/>
      <w:r w:rsidR="00FE3440" w:rsidRPr="00CD660B">
        <w:rPr>
          <w:sz w:val="22"/>
          <w:szCs w:val="22"/>
          <w:lang w:val="en-US"/>
        </w:rPr>
        <w:t>Alatau</w:t>
      </w:r>
      <w:proofErr w:type="spellEnd"/>
      <w:r w:rsidR="00FE3440" w:rsidRPr="00CD660B">
        <w:rPr>
          <w:sz w:val="22"/>
          <w:szCs w:val="22"/>
          <w:lang w:val="en-US"/>
        </w:rPr>
        <w:t xml:space="preserve"> </w:t>
      </w:r>
      <w:proofErr w:type="spellStart"/>
      <w:r w:rsidR="00FE3440" w:rsidRPr="00CD660B">
        <w:rPr>
          <w:sz w:val="22"/>
          <w:szCs w:val="22"/>
          <w:lang w:val="en-US"/>
        </w:rPr>
        <w:t>Zharyk</w:t>
      </w:r>
      <w:proofErr w:type="spellEnd"/>
      <w:r w:rsidR="00FE3440" w:rsidRPr="00CD660B">
        <w:rPr>
          <w:sz w:val="22"/>
          <w:szCs w:val="22"/>
          <w:lang w:val="en-US"/>
        </w:rPr>
        <w:t xml:space="preserve"> </w:t>
      </w:r>
      <w:proofErr w:type="spellStart"/>
      <w:r w:rsidR="00FE3440" w:rsidRPr="00CD660B">
        <w:rPr>
          <w:sz w:val="22"/>
          <w:szCs w:val="22"/>
          <w:lang w:val="en-US"/>
        </w:rPr>
        <w:t>Kompaniyasy</w:t>
      </w:r>
      <w:proofErr w:type="spellEnd"/>
      <w:r w:rsidR="00FE3440" w:rsidRPr="00CD660B">
        <w:rPr>
          <w:sz w:val="22"/>
          <w:szCs w:val="22"/>
          <w:lang w:val="en-US"/>
        </w:rPr>
        <w:t xml:space="preserve"> JSC</w:t>
      </w:r>
      <w:r w:rsidRPr="00327BD8">
        <w:rPr>
          <w:sz w:val="22"/>
          <w:szCs w:val="22"/>
          <w:lang w:val="en-US"/>
        </w:rPr>
        <w:t xml:space="preserve">. Construction of substations </w:t>
      </w:r>
      <w:proofErr w:type="spellStart"/>
      <w:r w:rsidRPr="00327BD8">
        <w:rPr>
          <w:sz w:val="22"/>
          <w:szCs w:val="22"/>
          <w:lang w:val="en-US"/>
        </w:rPr>
        <w:t>Ermensay</w:t>
      </w:r>
      <w:proofErr w:type="spellEnd"/>
      <w:r w:rsidRPr="00327BD8">
        <w:rPr>
          <w:sz w:val="22"/>
          <w:szCs w:val="22"/>
          <w:lang w:val="en-US"/>
        </w:rPr>
        <w:t xml:space="preserve">, </w:t>
      </w:r>
      <w:proofErr w:type="spellStart"/>
      <w:r w:rsidR="00FE3440">
        <w:rPr>
          <w:sz w:val="22"/>
          <w:szCs w:val="22"/>
          <w:lang w:val="en-US"/>
        </w:rPr>
        <w:t>Medeu</w:t>
      </w:r>
      <w:proofErr w:type="spellEnd"/>
      <w:r w:rsidRPr="00327BD8">
        <w:rPr>
          <w:sz w:val="22"/>
          <w:szCs w:val="22"/>
          <w:lang w:val="en-US"/>
        </w:rPr>
        <w:t xml:space="preserve">, </w:t>
      </w:r>
      <w:proofErr w:type="spellStart"/>
      <w:r w:rsidRPr="00327BD8">
        <w:rPr>
          <w:sz w:val="22"/>
          <w:szCs w:val="22"/>
          <w:lang w:val="en-US"/>
        </w:rPr>
        <w:t>Shymbulak</w:t>
      </w:r>
      <w:proofErr w:type="spellEnd"/>
      <w:r w:rsidRPr="00327BD8">
        <w:rPr>
          <w:sz w:val="22"/>
          <w:szCs w:val="22"/>
          <w:lang w:val="en-US"/>
        </w:rPr>
        <w:t xml:space="preserve">, </w:t>
      </w:r>
      <w:proofErr w:type="gramStart"/>
      <w:r w:rsidRPr="00327BD8">
        <w:rPr>
          <w:sz w:val="22"/>
          <w:szCs w:val="22"/>
          <w:lang w:val="en-US"/>
        </w:rPr>
        <w:t>Kazakh</w:t>
      </w:r>
      <w:proofErr w:type="gramEnd"/>
      <w:r w:rsidRPr="00327BD8">
        <w:rPr>
          <w:sz w:val="22"/>
          <w:szCs w:val="22"/>
          <w:lang w:val="en-US"/>
        </w:rPr>
        <w:t xml:space="preserve"> State University to provide </w:t>
      </w:r>
      <w:proofErr w:type="spellStart"/>
      <w:r w:rsidR="00FE3440" w:rsidRPr="00327BD8">
        <w:rPr>
          <w:sz w:val="22"/>
          <w:szCs w:val="22"/>
          <w:lang w:val="en-US"/>
        </w:rPr>
        <w:t>Asiad</w:t>
      </w:r>
      <w:r w:rsidR="00FE3440">
        <w:rPr>
          <w:sz w:val="22"/>
          <w:szCs w:val="22"/>
          <w:lang w:val="en-US"/>
        </w:rPr>
        <w:t>a</w:t>
      </w:r>
      <w:proofErr w:type="spellEnd"/>
      <w:r w:rsidR="00FE3440" w:rsidRPr="00327BD8">
        <w:rPr>
          <w:sz w:val="22"/>
          <w:szCs w:val="22"/>
          <w:lang w:val="en-US"/>
        </w:rPr>
        <w:t xml:space="preserve"> </w:t>
      </w:r>
      <w:r w:rsidRPr="00327BD8">
        <w:rPr>
          <w:sz w:val="22"/>
          <w:szCs w:val="22"/>
          <w:lang w:val="en-US"/>
        </w:rPr>
        <w:t xml:space="preserve">facilities </w:t>
      </w:r>
      <w:r w:rsidR="00FE3440">
        <w:rPr>
          <w:sz w:val="22"/>
          <w:szCs w:val="22"/>
          <w:lang w:val="en-US"/>
        </w:rPr>
        <w:t xml:space="preserve">with </w:t>
      </w:r>
      <w:r w:rsidR="00FE3440" w:rsidRPr="00327BD8">
        <w:rPr>
          <w:sz w:val="22"/>
          <w:szCs w:val="22"/>
          <w:lang w:val="en-US"/>
        </w:rPr>
        <w:t xml:space="preserve">power </w:t>
      </w:r>
      <w:r w:rsidR="00FE3440">
        <w:rPr>
          <w:sz w:val="22"/>
          <w:szCs w:val="22"/>
          <w:lang w:val="en-US"/>
        </w:rPr>
        <w:t xml:space="preserve">is </w:t>
      </w:r>
      <w:r w:rsidRPr="00327BD8">
        <w:rPr>
          <w:sz w:val="22"/>
          <w:szCs w:val="22"/>
          <w:lang w:val="en-US"/>
        </w:rPr>
        <w:t xml:space="preserve">completed. Capital investments for the 1st half of 2012 amounted to </w:t>
      </w:r>
      <w:r w:rsidR="00FE3440">
        <w:rPr>
          <w:sz w:val="22"/>
          <w:szCs w:val="22"/>
          <w:lang w:val="en-US"/>
        </w:rPr>
        <w:t xml:space="preserve">KZT </w:t>
      </w:r>
      <w:r w:rsidRPr="00327BD8">
        <w:rPr>
          <w:sz w:val="22"/>
          <w:szCs w:val="22"/>
          <w:lang w:val="en-US"/>
        </w:rPr>
        <w:t>6.0 billion.</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The main sources of funding for capital expenditures:</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own funds of </w:t>
      </w:r>
      <w:r w:rsidR="00FE3440">
        <w:rPr>
          <w:sz w:val="22"/>
          <w:szCs w:val="22"/>
          <w:lang w:val="en-US"/>
        </w:rPr>
        <w:t>KZT</w:t>
      </w:r>
      <w:r w:rsidRPr="00327BD8">
        <w:rPr>
          <w:sz w:val="22"/>
          <w:szCs w:val="22"/>
          <w:lang w:val="en-US"/>
        </w:rPr>
        <w:t xml:space="preserve"> 8.2 </w:t>
      </w:r>
      <w:r w:rsidR="00FE3440">
        <w:rPr>
          <w:sz w:val="22"/>
          <w:szCs w:val="22"/>
          <w:lang w:val="en-US"/>
        </w:rPr>
        <w:t>billion</w:t>
      </w:r>
      <w:r w:rsidRPr="00327BD8">
        <w:rPr>
          <w:sz w:val="22"/>
          <w:szCs w:val="22"/>
          <w:lang w:val="en-US"/>
        </w:rPr>
        <w:t>;</w:t>
      </w:r>
    </w:p>
    <w:p w:rsidR="00327BD8" w:rsidRPr="00327BD8"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00FE3440">
        <w:rPr>
          <w:sz w:val="22"/>
          <w:szCs w:val="22"/>
          <w:lang w:val="en-US"/>
        </w:rPr>
        <w:t>N</w:t>
      </w:r>
      <w:r w:rsidRPr="00327BD8">
        <w:rPr>
          <w:sz w:val="22"/>
          <w:szCs w:val="22"/>
          <w:lang w:val="en-US"/>
        </w:rPr>
        <w:t xml:space="preserve">ational budget in the amount of </w:t>
      </w:r>
      <w:r w:rsidR="00FE3440">
        <w:rPr>
          <w:sz w:val="22"/>
          <w:szCs w:val="22"/>
          <w:lang w:val="en-US"/>
        </w:rPr>
        <w:t xml:space="preserve">KZT </w:t>
      </w:r>
      <w:r w:rsidRPr="00327BD8">
        <w:rPr>
          <w:sz w:val="22"/>
          <w:szCs w:val="22"/>
          <w:lang w:val="en-US"/>
        </w:rPr>
        <w:t>8.0 billion;</w:t>
      </w:r>
    </w:p>
    <w:p w:rsidR="002664E4" w:rsidRDefault="00327BD8" w:rsidP="00327BD8">
      <w:pPr>
        <w:tabs>
          <w:tab w:val="left" w:pos="426"/>
        </w:tabs>
        <w:autoSpaceDE w:val="0"/>
        <w:autoSpaceDN w:val="0"/>
        <w:adjustRightInd w:val="0"/>
        <w:ind w:left="-709" w:firstLine="709"/>
        <w:jc w:val="both"/>
        <w:rPr>
          <w:sz w:val="22"/>
          <w:szCs w:val="22"/>
          <w:lang w:val="en-US"/>
        </w:rPr>
      </w:pPr>
      <w:r w:rsidRPr="00327BD8">
        <w:rPr>
          <w:sz w:val="22"/>
          <w:szCs w:val="22"/>
          <w:lang w:val="en-US"/>
        </w:rPr>
        <w:t xml:space="preserve">• </w:t>
      </w:r>
      <w:r w:rsidR="00FE3440" w:rsidRPr="00327BD8">
        <w:rPr>
          <w:sz w:val="22"/>
          <w:szCs w:val="22"/>
          <w:lang w:val="en-US"/>
        </w:rPr>
        <w:t xml:space="preserve">Borrowings </w:t>
      </w:r>
      <w:r w:rsidR="00FE3440">
        <w:rPr>
          <w:sz w:val="22"/>
          <w:szCs w:val="22"/>
          <w:lang w:val="en-US"/>
        </w:rPr>
        <w:t>of KZT</w:t>
      </w:r>
      <w:r w:rsidRPr="00327BD8">
        <w:rPr>
          <w:sz w:val="22"/>
          <w:szCs w:val="22"/>
          <w:lang w:val="en-US"/>
        </w:rPr>
        <w:t xml:space="preserve"> 5.8 billion.</w:t>
      </w:r>
    </w:p>
    <w:p w:rsidR="002664E4" w:rsidRPr="00334790" w:rsidRDefault="002664E4" w:rsidP="002664E4">
      <w:pPr>
        <w:pStyle w:val="a3"/>
        <w:tabs>
          <w:tab w:val="left" w:pos="426"/>
        </w:tabs>
        <w:autoSpaceDE w:val="0"/>
        <w:autoSpaceDN w:val="0"/>
        <w:adjustRightInd w:val="0"/>
        <w:spacing w:after="200"/>
        <w:ind w:left="-709" w:firstLine="709"/>
        <w:jc w:val="both"/>
        <w:rPr>
          <w:color w:val="000000" w:themeColor="text1"/>
          <w:sz w:val="22"/>
          <w:szCs w:val="22"/>
          <w:lang w:val="en-US"/>
        </w:rPr>
      </w:pPr>
    </w:p>
    <w:p w:rsidR="00CF5769" w:rsidRPr="00334790" w:rsidRDefault="00CF5769" w:rsidP="002664E4">
      <w:pPr>
        <w:pStyle w:val="a3"/>
        <w:tabs>
          <w:tab w:val="left" w:pos="426"/>
        </w:tabs>
        <w:autoSpaceDE w:val="0"/>
        <w:autoSpaceDN w:val="0"/>
        <w:adjustRightInd w:val="0"/>
        <w:spacing w:after="200"/>
        <w:ind w:left="-709" w:firstLine="709"/>
        <w:jc w:val="both"/>
        <w:rPr>
          <w:color w:val="000000" w:themeColor="text1"/>
          <w:sz w:val="22"/>
          <w:szCs w:val="22"/>
          <w:lang w:val="en-US"/>
        </w:rPr>
      </w:pPr>
    </w:p>
    <w:p w:rsidR="00CF5769" w:rsidRPr="00334790" w:rsidRDefault="00CF5769" w:rsidP="002664E4">
      <w:pPr>
        <w:pStyle w:val="a3"/>
        <w:tabs>
          <w:tab w:val="left" w:pos="426"/>
        </w:tabs>
        <w:autoSpaceDE w:val="0"/>
        <w:autoSpaceDN w:val="0"/>
        <w:adjustRightInd w:val="0"/>
        <w:spacing w:after="200"/>
        <w:ind w:left="-709" w:firstLine="709"/>
        <w:jc w:val="both"/>
        <w:rPr>
          <w:color w:val="000000" w:themeColor="text1"/>
          <w:sz w:val="22"/>
          <w:szCs w:val="22"/>
          <w:lang w:val="en-US"/>
        </w:rPr>
      </w:pPr>
    </w:p>
    <w:p w:rsidR="002664E4" w:rsidRPr="001444D4" w:rsidRDefault="002664E4" w:rsidP="002664E4">
      <w:pPr>
        <w:tabs>
          <w:tab w:val="left" w:pos="426"/>
        </w:tabs>
        <w:autoSpaceDE w:val="0"/>
        <w:autoSpaceDN w:val="0"/>
        <w:adjustRightInd w:val="0"/>
        <w:ind w:left="-709" w:firstLine="709"/>
        <w:jc w:val="both"/>
        <w:rPr>
          <w:b/>
          <w:sz w:val="22"/>
          <w:szCs w:val="22"/>
          <w:lang w:val="en-US"/>
        </w:rPr>
      </w:pPr>
      <w:r>
        <w:rPr>
          <w:b/>
          <w:sz w:val="22"/>
          <w:szCs w:val="22"/>
          <w:lang w:val="en-US"/>
        </w:rPr>
        <w:t xml:space="preserve">3.5 “Telecommunications” segment </w:t>
      </w:r>
    </w:p>
    <w:p w:rsidR="002664E4" w:rsidRPr="00AE14C1" w:rsidRDefault="002664E4" w:rsidP="002664E4">
      <w:pPr>
        <w:tabs>
          <w:tab w:val="left" w:pos="426"/>
        </w:tabs>
        <w:autoSpaceDE w:val="0"/>
        <w:autoSpaceDN w:val="0"/>
        <w:adjustRightInd w:val="0"/>
        <w:ind w:left="-709" w:firstLine="709"/>
        <w:jc w:val="both"/>
        <w:rPr>
          <w:b/>
          <w:sz w:val="22"/>
          <w:szCs w:val="22"/>
          <w:lang w:val="en-US"/>
        </w:rPr>
      </w:pPr>
    </w:p>
    <w:p w:rsidR="002664E4" w:rsidRPr="00C24DD6" w:rsidRDefault="002664E4" w:rsidP="002664E4">
      <w:pPr>
        <w:tabs>
          <w:tab w:val="left" w:pos="426"/>
        </w:tabs>
        <w:ind w:left="-709" w:firstLine="709"/>
        <w:jc w:val="both"/>
        <w:rPr>
          <w:rStyle w:val="apple-style-span"/>
          <w:b/>
          <w:sz w:val="22"/>
          <w:szCs w:val="22"/>
          <w:shd w:val="clear" w:color="auto" w:fill="FFFFFF"/>
          <w:lang w:val="en-US"/>
        </w:rPr>
      </w:pPr>
      <w:r>
        <w:rPr>
          <w:rStyle w:val="apple-style-span"/>
          <w:b/>
          <w:sz w:val="22"/>
          <w:szCs w:val="22"/>
          <w:shd w:val="clear" w:color="auto" w:fill="FFFFFF"/>
          <w:lang w:val="en-US"/>
        </w:rPr>
        <w:t>Performance indicators</w:t>
      </w:r>
    </w:p>
    <w:p w:rsidR="002A0E0D" w:rsidRPr="00334790" w:rsidRDefault="002A0E0D" w:rsidP="002664E4">
      <w:pPr>
        <w:tabs>
          <w:tab w:val="left" w:pos="426"/>
        </w:tabs>
        <w:ind w:left="-709" w:firstLine="709"/>
        <w:jc w:val="both"/>
        <w:rPr>
          <w:rStyle w:val="apple-style-span"/>
          <w:b/>
          <w:sz w:val="22"/>
          <w:szCs w:val="22"/>
          <w:shd w:val="clear" w:color="auto" w:fill="FFFFFF"/>
          <w:lang w:val="en-US"/>
        </w:rPr>
      </w:pPr>
    </w:p>
    <w:p w:rsidR="00CF5769" w:rsidRPr="00334790" w:rsidRDefault="00CF5769" w:rsidP="002664E4">
      <w:pPr>
        <w:tabs>
          <w:tab w:val="left" w:pos="426"/>
        </w:tabs>
        <w:ind w:left="-709" w:firstLine="709"/>
        <w:jc w:val="both"/>
        <w:rPr>
          <w:rStyle w:val="apple-style-span"/>
          <w:b/>
          <w:sz w:val="22"/>
          <w:szCs w:val="22"/>
          <w:shd w:val="clear" w:color="auto" w:fill="FFFFFF"/>
          <w:lang w:val="en-US"/>
        </w:rPr>
      </w:pPr>
    </w:p>
    <w:p w:rsidR="002A0E0D" w:rsidRPr="00CF5769" w:rsidRDefault="002A0E0D" w:rsidP="002A0E0D">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CF5769" w:rsidRPr="00CF5769" w:rsidRDefault="00CF5769" w:rsidP="002A0E0D">
      <w:pPr>
        <w:tabs>
          <w:tab w:val="left" w:pos="426"/>
        </w:tabs>
        <w:ind w:left="-709" w:firstLine="709"/>
        <w:jc w:val="both"/>
        <w:rPr>
          <w:rStyle w:val="apple-style-span"/>
          <w:b/>
          <w:color w:val="FF0000"/>
          <w:sz w:val="22"/>
          <w:szCs w:val="22"/>
          <w:shd w:val="clear" w:color="auto" w:fill="FFFFFF"/>
          <w:lang w:val="en-U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006"/>
        <w:gridCol w:w="960"/>
        <w:gridCol w:w="960"/>
        <w:gridCol w:w="1151"/>
        <w:gridCol w:w="3261"/>
      </w:tblGrid>
      <w:tr w:rsidR="002664E4" w:rsidRPr="00CD6A66" w:rsidTr="00CF5769">
        <w:trPr>
          <w:trHeight w:val="337"/>
          <w:tblHeader/>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CD6A66" w:rsidRDefault="002664E4" w:rsidP="00770BC8">
            <w:pPr>
              <w:jc w:val="center"/>
              <w:rPr>
                <w:b/>
                <w:bCs/>
                <w:sz w:val="18"/>
                <w:szCs w:val="18"/>
                <w:lang w:val="en-US"/>
              </w:rPr>
            </w:pPr>
            <w:r w:rsidRPr="00CD6A66">
              <w:rPr>
                <w:b/>
                <w:bCs/>
                <w:sz w:val="18"/>
                <w:szCs w:val="18"/>
                <w:lang w:val="en-US" w:eastAsia="en-US"/>
              </w:rPr>
              <w:t>Indicator</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CD6A66" w:rsidRDefault="002664E4" w:rsidP="00770BC8">
            <w:pPr>
              <w:jc w:val="center"/>
              <w:rPr>
                <w:b/>
                <w:bCs/>
                <w:sz w:val="18"/>
                <w:szCs w:val="18"/>
                <w:lang w:val="en-US"/>
              </w:rPr>
            </w:pPr>
            <w:proofErr w:type="spellStart"/>
            <w:r w:rsidRPr="00CD6A66">
              <w:rPr>
                <w:b/>
                <w:bCs/>
                <w:sz w:val="18"/>
                <w:szCs w:val="18"/>
                <w:lang w:val="en-US" w:eastAsia="en-US"/>
              </w:rPr>
              <w:t>UoM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CD6A66" w:rsidRDefault="002A0E0D" w:rsidP="00770BC8">
            <w:pPr>
              <w:jc w:val="center"/>
              <w:rPr>
                <w:b/>
                <w:bCs/>
                <w:sz w:val="18"/>
                <w:szCs w:val="18"/>
                <w:lang w:val="en-US"/>
              </w:rPr>
            </w:pPr>
            <w:r w:rsidRPr="00CD6A66">
              <w:rPr>
                <w:b/>
                <w:bCs/>
                <w:sz w:val="18"/>
                <w:szCs w:val="18"/>
                <w:lang w:val="en-US" w:eastAsia="en-US"/>
              </w:rPr>
              <w:t>H</w:t>
            </w:r>
            <w:r w:rsidRPr="00CD6A66">
              <w:rPr>
                <w:b/>
                <w:bCs/>
                <w:sz w:val="18"/>
                <w:szCs w:val="18"/>
                <w:lang w:eastAsia="en-US"/>
              </w:rPr>
              <w:t>1 2012</w:t>
            </w:r>
            <w:r w:rsidR="002664E4" w:rsidRPr="00CD6A66">
              <w:rPr>
                <w:b/>
                <w:bCs/>
                <w:sz w:val="18"/>
                <w:szCs w:val="18"/>
                <w:lang w:val="en-US" w:eastAsia="en-US"/>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CD6A66" w:rsidRDefault="002A0E0D" w:rsidP="00770BC8">
            <w:pPr>
              <w:jc w:val="center"/>
              <w:rPr>
                <w:b/>
                <w:bCs/>
                <w:sz w:val="18"/>
                <w:szCs w:val="18"/>
                <w:lang w:val="en-US"/>
              </w:rPr>
            </w:pPr>
            <w:r w:rsidRPr="00CD6A66">
              <w:rPr>
                <w:b/>
                <w:bCs/>
                <w:sz w:val="18"/>
                <w:szCs w:val="18"/>
                <w:lang w:val="en-US" w:eastAsia="en-US"/>
              </w:rPr>
              <w:t>H1 2011</w:t>
            </w:r>
            <w:r w:rsidR="002664E4" w:rsidRPr="00CD6A66">
              <w:rPr>
                <w:b/>
                <w:bCs/>
                <w:sz w:val="18"/>
                <w:szCs w:val="18"/>
                <w:lang w:val="en-US" w:eastAsia="en-US"/>
              </w:rPr>
              <w:t xml:space="preserve"> </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E0D" w:rsidRPr="00CD6A66" w:rsidRDefault="002A0E0D" w:rsidP="002A0E0D">
            <w:pPr>
              <w:jc w:val="center"/>
              <w:rPr>
                <w:b/>
                <w:bCs/>
                <w:sz w:val="18"/>
                <w:szCs w:val="18"/>
                <w:lang w:val="en-US"/>
              </w:rPr>
            </w:pPr>
            <w:r w:rsidRPr="00CD6A66">
              <w:rPr>
                <w:b/>
                <w:bCs/>
                <w:sz w:val="18"/>
                <w:szCs w:val="18"/>
                <w:lang w:val="en-US"/>
              </w:rPr>
              <w:t xml:space="preserve">H1 2012/H1 2011, </w:t>
            </w:r>
          </w:p>
          <w:p w:rsidR="002664E4" w:rsidRPr="00CD6A66" w:rsidRDefault="002664E4" w:rsidP="00770BC8">
            <w:pPr>
              <w:jc w:val="center"/>
              <w:rPr>
                <w:b/>
                <w:bCs/>
                <w:sz w:val="18"/>
                <w:szCs w:val="18"/>
                <w:lang w:val="en-US"/>
              </w:rPr>
            </w:pPr>
            <w:r w:rsidRPr="00CD6A66">
              <w:rPr>
                <w:b/>
                <w:bCs/>
                <w:sz w:val="18"/>
                <w:szCs w:val="18"/>
                <w:lang w:val="en-US" w:eastAsia="en-US"/>
              </w:rPr>
              <w:t>in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2664E4" w:rsidRPr="00CD6A66" w:rsidRDefault="002664E4" w:rsidP="00770BC8">
            <w:pPr>
              <w:jc w:val="center"/>
              <w:rPr>
                <w:b/>
                <w:bCs/>
                <w:sz w:val="18"/>
                <w:szCs w:val="18"/>
                <w:lang w:val="en-US" w:eastAsia="en-US"/>
              </w:rPr>
            </w:pPr>
            <w:r w:rsidRPr="00CD6A66">
              <w:rPr>
                <w:b/>
                <w:bCs/>
                <w:sz w:val="18"/>
                <w:szCs w:val="18"/>
                <w:lang w:val="en-US" w:eastAsia="en-US"/>
              </w:rPr>
              <w:t>Factors</w:t>
            </w:r>
          </w:p>
        </w:tc>
      </w:tr>
      <w:tr w:rsidR="002A0E0D" w:rsidRPr="00353DB4" w:rsidTr="00CF5769">
        <w:trPr>
          <w:trHeight w:val="342"/>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t>The number of fixed lines</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proofErr w:type="spellStart"/>
            <w:r w:rsidRPr="00CD6A66">
              <w:rPr>
                <w:sz w:val="18"/>
                <w:szCs w:val="18"/>
                <w:lang w:val="en-US" w:eastAsia="en-US"/>
              </w:rPr>
              <w:t>Thous</w:t>
            </w:r>
            <w:proofErr w:type="spellEnd"/>
            <w:r w:rsidRPr="00CD6A66">
              <w:rPr>
                <w:sz w:val="18"/>
                <w:szCs w:val="18"/>
                <w:lang w:val="en-US" w:eastAsia="en-US"/>
              </w:rPr>
              <w:t>. lines</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3 996</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3 970</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lang w:val="en-US"/>
              </w:rPr>
            </w:pPr>
            <w:r w:rsidRPr="00CD6A66">
              <w:rPr>
                <w:sz w:val="18"/>
                <w:szCs w:val="18"/>
                <w:lang w:val="en-US"/>
              </w:rPr>
              <w:t>101</w:t>
            </w:r>
          </w:p>
        </w:tc>
        <w:tc>
          <w:tcPr>
            <w:tcW w:w="3261" w:type="dxa"/>
            <w:tcBorders>
              <w:top w:val="single" w:sz="4" w:space="0" w:color="auto"/>
              <w:left w:val="single" w:sz="4" w:space="0" w:color="auto"/>
              <w:bottom w:val="single" w:sz="4" w:space="0" w:color="auto"/>
              <w:right w:val="single" w:sz="4" w:space="0" w:color="auto"/>
            </w:tcBorders>
          </w:tcPr>
          <w:p w:rsidR="002A0E0D" w:rsidRPr="00CD6A66" w:rsidRDefault="002A0E0D" w:rsidP="00770BC8">
            <w:pPr>
              <w:rPr>
                <w:sz w:val="18"/>
                <w:szCs w:val="18"/>
                <w:lang w:val="en-US" w:eastAsia="en-US"/>
              </w:rPr>
            </w:pPr>
            <w:r w:rsidRPr="00CD6A66">
              <w:rPr>
                <w:sz w:val="18"/>
                <w:szCs w:val="18"/>
                <w:lang w:val="en-US" w:eastAsia="en-US"/>
              </w:rPr>
              <w:t>Growth in the number of lines laid and new subscribers</w:t>
            </w:r>
          </w:p>
        </w:tc>
      </w:tr>
      <w:tr w:rsidR="002A0E0D" w:rsidRPr="00353DB4" w:rsidTr="00CF5769">
        <w:trPr>
          <w:trHeight w:val="433"/>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t>The number of subscribers - Mobile communications (voice)</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proofErr w:type="spellStart"/>
            <w:r w:rsidRPr="00CD6A66">
              <w:rPr>
                <w:sz w:val="18"/>
                <w:szCs w:val="18"/>
                <w:lang w:val="en-US" w:eastAsia="en-US"/>
              </w:rPr>
              <w:t>Thous</w:t>
            </w:r>
            <w:proofErr w:type="spellEnd"/>
            <w:r w:rsidRPr="00CD6A66">
              <w:rPr>
                <w:sz w:val="18"/>
                <w:szCs w:val="18"/>
                <w:lang w:val="en-US" w:eastAsia="en-US"/>
              </w:rPr>
              <w:t>. units</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1 280</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1 388</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lang w:val="en-US"/>
              </w:rPr>
            </w:pPr>
            <w:r w:rsidRPr="00CD6A66">
              <w:rPr>
                <w:sz w:val="18"/>
                <w:szCs w:val="18"/>
                <w:lang w:val="en-US"/>
              </w:rPr>
              <w:t>92</w:t>
            </w:r>
          </w:p>
        </w:tc>
        <w:tc>
          <w:tcPr>
            <w:tcW w:w="3261" w:type="dxa"/>
            <w:tcBorders>
              <w:top w:val="single" w:sz="4" w:space="0" w:color="auto"/>
              <w:left w:val="single" w:sz="4" w:space="0" w:color="auto"/>
              <w:bottom w:val="single" w:sz="4" w:space="0" w:color="auto"/>
              <w:right w:val="single" w:sz="4" w:space="0" w:color="auto"/>
            </w:tcBorders>
          </w:tcPr>
          <w:p w:rsidR="002A0E0D" w:rsidRPr="00CD6A66" w:rsidRDefault="00771D7E" w:rsidP="00300106">
            <w:pPr>
              <w:rPr>
                <w:sz w:val="18"/>
                <w:szCs w:val="18"/>
                <w:lang w:val="en-US" w:eastAsia="en-US"/>
              </w:rPr>
            </w:pPr>
            <w:r w:rsidRPr="00CD6A66">
              <w:rPr>
                <w:sz w:val="18"/>
                <w:szCs w:val="18"/>
                <w:lang w:val="en-US" w:eastAsia="en-US"/>
              </w:rPr>
              <w:t xml:space="preserve">Reducing the number of active subscribers </w:t>
            </w:r>
            <w:r w:rsidR="00300106" w:rsidRPr="00CD6A66">
              <w:rPr>
                <w:sz w:val="18"/>
                <w:szCs w:val="18"/>
                <w:lang w:val="en-US" w:eastAsia="en-US"/>
              </w:rPr>
              <w:t xml:space="preserve">is </w:t>
            </w:r>
            <w:r w:rsidRPr="00CD6A66">
              <w:rPr>
                <w:sz w:val="18"/>
                <w:szCs w:val="18"/>
                <w:lang w:val="en-US" w:eastAsia="en-US"/>
              </w:rPr>
              <w:t xml:space="preserve">associated with a reduced loyalty through active marketing of competing GSM operators. To attract new customers in the second quarter, </w:t>
            </w:r>
            <w:r w:rsidR="00300106" w:rsidRPr="00CD6A66">
              <w:rPr>
                <w:sz w:val="18"/>
                <w:szCs w:val="18"/>
                <w:lang w:val="en-US" w:eastAsia="en-US"/>
              </w:rPr>
              <w:t xml:space="preserve">there were </w:t>
            </w:r>
            <w:r w:rsidRPr="00CD6A66">
              <w:rPr>
                <w:sz w:val="18"/>
                <w:szCs w:val="18"/>
                <w:lang w:val="en-US" w:eastAsia="en-US"/>
              </w:rPr>
              <w:t xml:space="preserve">introduced new tariff plans, </w:t>
            </w:r>
            <w:r w:rsidR="00300106" w:rsidRPr="00CD6A66">
              <w:rPr>
                <w:sz w:val="18"/>
                <w:szCs w:val="18"/>
                <w:lang w:val="en-US" w:eastAsia="en-US"/>
              </w:rPr>
              <w:lastRenderedPageBreak/>
              <w:t xml:space="preserve">promotions are </w:t>
            </w:r>
            <w:r w:rsidRPr="00CD6A66">
              <w:rPr>
                <w:sz w:val="18"/>
                <w:szCs w:val="18"/>
                <w:lang w:val="en-US" w:eastAsia="en-US"/>
              </w:rPr>
              <w:t xml:space="preserve">planned </w:t>
            </w:r>
          </w:p>
        </w:tc>
      </w:tr>
      <w:tr w:rsidR="002A0E0D" w:rsidRPr="00353DB4" w:rsidTr="00CF5769">
        <w:trPr>
          <w:trHeight w:val="259"/>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lastRenderedPageBreak/>
              <w:t>Number of broadband subscribers (ports)</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proofErr w:type="spellStart"/>
            <w:r w:rsidRPr="00CD6A66">
              <w:rPr>
                <w:sz w:val="18"/>
                <w:szCs w:val="18"/>
                <w:lang w:val="en-US" w:eastAsia="en-US"/>
              </w:rPr>
              <w:t>Thous</w:t>
            </w:r>
            <w:proofErr w:type="spellEnd"/>
            <w:r w:rsidRPr="00CD6A66">
              <w:rPr>
                <w:sz w:val="18"/>
                <w:szCs w:val="18"/>
                <w:lang w:val="en-US" w:eastAsia="en-US"/>
              </w:rPr>
              <w:t>. ports</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1 074</w:t>
            </w:r>
            <w:r w:rsidRPr="00CD6A66">
              <w:rPr>
                <w:sz w:val="18"/>
                <w:szCs w:val="18"/>
                <w:lang w:val="en-US"/>
              </w:rPr>
              <w:t xml:space="preserve"> </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1 052</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lang w:val="en-US"/>
              </w:rPr>
            </w:pPr>
            <w:r w:rsidRPr="00CD6A66">
              <w:rPr>
                <w:sz w:val="18"/>
                <w:szCs w:val="18"/>
                <w:lang w:val="en-US"/>
              </w:rPr>
              <w:t>102</w:t>
            </w:r>
          </w:p>
        </w:tc>
        <w:tc>
          <w:tcPr>
            <w:tcW w:w="3261" w:type="dxa"/>
            <w:tcBorders>
              <w:top w:val="single" w:sz="4" w:space="0" w:color="auto"/>
              <w:left w:val="single" w:sz="4" w:space="0" w:color="auto"/>
              <w:right w:val="single" w:sz="4" w:space="0" w:color="auto"/>
            </w:tcBorders>
          </w:tcPr>
          <w:p w:rsidR="002A0E0D" w:rsidRPr="00CD6A66" w:rsidRDefault="00771D7E" w:rsidP="00771D7E">
            <w:pPr>
              <w:rPr>
                <w:sz w:val="18"/>
                <w:szCs w:val="18"/>
                <w:lang w:val="en-US" w:eastAsia="en-US"/>
              </w:rPr>
            </w:pPr>
            <w:r w:rsidRPr="00CD6A66">
              <w:rPr>
                <w:sz w:val="18"/>
                <w:szCs w:val="18"/>
                <w:lang w:val="en-US" w:eastAsia="en-US"/>
              </w:rPr>
              <w:t>Growth in the number of users due to the active promotion of service</w:t>
            </w:r>
            <w:r w:rsidR="00300106" w:rsidRPr="00CD6A66">
              <w:rPr>
                <w:sz w:val="18"/>
                <w:szCs w:val="18"/>
                <w:lang w:val="en-US" w:eastAsia="en-US"/>
              </w:rPr>
              <w:t>s in the segment of individuals on</w:t>
            </w:r>
            <w:r w:rsidRPr="00CD6A66">
              <w:rPr>
                <w:sz w:val="18"/>
                <w:szCs w:val="18"/>
                <w:lang w:val="en-US" w:eastAsia="en-US"/>
              </w:rPr>
              <w:t xml:space="preserve"> the tariff plans </w:t>
            </w:r>
            <w:proofErr w:type="spellStart"/>
            <w:r w:rsidRPr="00CD6A66">
              <w:rPr>
                <w:sz w:val="18"/>
                <w:szCs w:val="18"/>
                <w:lang w:val="en-US" w:eastAsia="en-US"/>
              </w:rPr>
              <w:t>Megaline</w:t>
            </w:r>
            <w:proofErr w:type="spellEnd"/>
            <w:r w:rsidRPr="00CD6A66">
              <w:rPr>
                <w:sz w:val="18"/>
                <w:szCs w:val="18"/>
                <w:lang w:val="en-US" w:eastAsia="en-US"/>
              </w:rPr>
              <w:t xml:space="preserve"> Drive, Turbo, Hit</w:t>
            </w:r>
          </w:p>
        </w:tc>
      </w:tr>
      <w:tr w:rsidR="002A0E0D" w:rsidRPr="00353DB4" w:rsidTr="00CF5769">
        <w:trPr>
          <w:trHeight w:val="395"/>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t>The volume of postal services</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r w:rsidRPr="00CD6A66">
              <w:rPr>
                <w:sz w:val="18"/>
                <w:szCs w:val="18"/>
                <w:lang w:val="en-US" w:eastAsia="en-US"/>
              </w:rPr>
              <w:t>Million units</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lang w:val="en-US"/>
              </w:rPr>
            </w:pPr>
            <w:r w:rsidRPr="00CD6A66">
              <w:rPr>
                <w:sz w:val="18"/>
                <w:szCs w:val="18"/>
                <w:lang w:val="en-US"/>
              </w:rPr>
              <w:t>141</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135</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104</w:t>
            </w:r>
          </w:p>
        </w:tc>
        <w:tc>
          <w:tcPr>
            <w:tcW w:w="3261" w:type="dxa"/>
            <w:tcBorders>
              <w:top w:val="single" w:sz="4" w:space="0" w:color="auto"/>
              <w:left w:val="single" w:sz="4" w:space="0" w:color="auto"/>
              <w:bottom w:val="single" w:sz="4" w:space="0" w:color="auto"/>
              <w:right w:val="single" w:sz="4" w:space="0" w:color="auto"/>
            </w:tcBorders>
          </w:tcPr>
          <w:p w:rsidR="002A0E0D" w:rsidRPr="00CD6A66" w:rsidRDefault="002A0E0D" w:rsidP="00770BC8">
            <w:pPr>
              <w:rPr>
                <w:sz w:val="18"/>
                <w:szCs w:val="18"/>
                <w:lang w:val="en-US" w:eastAsia="en-US"/>
              </w:rPr>
            </w:pPr>
            <w:r w:rsidRPr="00CD6A66">
              <w:rPr>
                <w:sz w:val="18"/>
                <w:szCs w:val="18"/>
                <w:lang w:val="en-US" w:eastAsia="en-US"/>
              </w:rPr>
              <w:t>Growth in the volume of services for the transfer of parcels, express mail, special communications</w:t>
            </w:r>
          </w:p>
        </w:tc>
      </w:tr>
      <w:tr w:rsidR="002A0E0D" w:rsidRPr="00353DB4" w:rsidTr="00CF5769">
        <w:trPr>
          <w:trHeight w:val="395"/>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t>The volume of financial services</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r w:rsidRPr="00CD6A66">
              <w:rPr>
                <w:sz w:val="18"/>
                <w:szCs w:val="18"/>
                <w:lang w:val="en-US" w:eastAsia="en-US"/>
              </w:rPr>
              <w:t>Billion KZT</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lang w:val="en-US"/>
              </w:rPr>
            </w:pPr>
            <w:r w:rsidRPr="00CD6A66">
              <w:rPr>
                <w:sz w:val="18"/>
                <w:szCs w:val="18"/>
                <w:lang w:val="en-US"/>
              </w:rPr>
              <w:t>410</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365</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112</w:t>
            </w:r>
          </w:p>
        </w:tc>
        <w:tc>
          <w:tcPr>
            <w:tcW w:w="3261" w:type="dxa"/>
            <w:tcBorders>
              <w:top w:val="single" w:sz="4" w:space="0" w:color="auto"/>
              <w:left w:val="single" w:sz="4" w:space="0" w:color="auto"/>
              <w:bottom w:val="single" w:sz="4" w:space="0" w:color="auto"/>
              <w:right w:val="single" w:sz="4" w:space="0" w:color="auto"/>
            </w:tcBorders>
          </w:tcPr>
          <w:p w:rsidR="002A0E0D" w:rsidRPr="00CD6A66" w:rsidRDefault="002A0E0D" w:rsidP="00770BC8">
            <w:pPr>
              <w:rPr>
                <w:sz w:val="18"/>
                <w:szCs w:val="18"/>
                <w:lang w:val="en-US" w:eastAsia="en-US"/>
              </w:rPr>
            </w:pPr>
            <w:r w:rsidRPr="00CD6A66">
              <w:rPr>
                <w:sz w:val="18"/>
                <w:szCs w:val="18"/>
                <w:lang w:val="en-US" w:eastAsia="en-US"/>
              </w:rPr>
              <w:t>Growth in money transfer services, payment of money to individuals, receiving payment on public utilities and other payments, etc.</w:t>
            </w:r>
          </w:p>
        </w:tc>
      </w:tr>
      <w:tr w:rsidR="002A0E0D" w:rsidRPr="00353DB4" w:rsidTr="00CF5769">
        <w:trPr>
          <w:trHeight w:val="395"/>
          <w:jc w:val="center"/>
        </w:trPr>
        <w:tc>
          <w:tcPr>
            <w:tcW w:w="2977" w:type="dxa"/>
            <w:tcBorders>
              <w:top w:val="single" w:sz="4" w:space="0" w:color="auto"/>
              <w:left w:val="single" w:sz="4" w:space="0" w:color="auto"/>
              <w:bottom w:val="single" w:sz="4" w:space="0" w:color="auto"/>
              <w:right w:val="single" w:sz="4" w:space="0" w:color="auto"/>
            </w:tcBorders>
            <w:hideMark/>
          </w:tcPr>
          <w:p w:rsidR="002A0E0D" w:rsidRPr="00CD6A66" w:rsidRDefault="002A0E0D" w:rsidP="00770BC8">
            <w:pPr>
              <w:rPr>
                <w:sz w:val="18"/>
                <w:szCs w:val="18"/>
                <w:lang w:val="en-US" w:eastAsia="en-US"/>
              </w:rPr>
            </w:pPr>
            <w:r w:rsidRPr="00CD6A66">
              <w:rPr>
                <w:sz w:val="18"/>
                <w:szCs w:val="18"/>
                <w:lang w:val="en-US" w:eastAsia="en-US"/>
              </w:rPr>
              <w:t>The volume of agency services</w:t>
            </w:r>
          </w:p>
        </w:tc>
        <w:tc>
          <w:tcPr>
            <w:tcW w:w="1006"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770BC8">
            <w:pPr>
              <w:jc w:val="center"/>
              <w:rPr>
                <w:sz w:val="18"/>
                <w:szCs w:val="18"/>
                <w:lang w:val="en-US"/>
              </w:rPr>
            </w:pPr>
            <w:r w:rsidRPr="00CD6A66">
              <w:rPr>
                <w:sz w:val="18"/>
                <w:szCs w:val="18"/>
                <w:lang w:val="en-US" w:eastAsia="en-US"/>
              </w:rPr>
              <w:t>Billion KZT</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lang w:val="en-US"/>
              </w:rPr>
              <w:t>12</w:t>
            </w:r>
            <w:r w:rsidRPr="00CD6A66">
              <w:rPr>
                <w:sz w:val="18"/>
                <w:szCs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6,0</w:t>
            </w:r>
          </w:p>
        </w:tc>
        <w:tc>
          <w:tcPr>
            <w:tcW w:w="1151" w:type="dxa"/>
            <w:tcBorders>
              <w:top w:val="single" w:sz="4" w:space="0" w:color="auto"/>
              <w:left w:val="single" w:sz="4" w:space="0" w:color="auto"/>
              <w:bottom w:val="single" w:sz="4" w:space="0" w:color="auto"/>
              <w:right w:val="single" w:sz="4" w:space="0" w:color="auto"/>
            </w:tcBorders>
            <w:vAlign w:val="center"/>
            <w:hideMark/>
          </w:tcPr>
          <w:p w:rsidR="002A0E0D" w:rsidRPr="00CD6A66" w:rsidRDefault="002A0E0D" w:rsidP="00300106">
            <w:pPr>
              <w:jc w:val="center"/>
              <w:rPr>
                <w:sz w:val="18"/>
                <w:szCs w:val="18"/>
              </w:rPr>
            </w:pPr>
            <w:r w:rsidRPr="00CD6A66">
              <w:rPr>
                <w:sz w:val="18"/>
                <w:szCs w:val="18"/>
              </w:rPr>
              <w:t>208</w:t>
            </w:r>
          </w:p>
        </w:tc>
        <w:tc>
          <w:tcPr>
            <w:tcW w:w="3261" w:type="dxa"/>
            <w:tcBorders>
              <w:top w:val="single" w:sz="4" w:space="0" w:color="auto"/>
              <w:left w:val="single" w:sz="4" w:space="0" w:color="auto"/>
              <w:bottom w:val="single" w:sz="4" w:space="0" w:color="auto"/>
              <w:right w:val="single" w:sz="4" w:space="0" w:color="auto"/>
            </w:tcBorders>
          </w:tcPr>
          <w:p w:rsidR="002A0E0D" w:rsidRPr="00CD6A66" w:rsidRDefault="002A0E0D" w:rsidP="00771D7E">
            <w:pPr>
              <w:rPr>
                <w:sz w:val="18"/>
                <w:szCs w:val="18"/>
                <w:lang w:val="en-US" w:eastAsia="en-US"/>
              </w:rPr>
            </w:pPr>
            <w:r w:rsidRPr="00CD6A66">
              <w:rPr>
                <w:sz w:val="18"/>
                <w:szCs w:val="18"/>
                <w:lang w:val="en-US" w:eastAsia="en-US"/>
              </w:rPr>
              <w:t xml:space="preserve">Growth in lending the commercial banks </w:t>
            </w:r>
          </w:p>
        </w:tc>
      </w:tr>
    </w:tbl>
    <w:p w:rsidR="00CD6A66" w:rsidRDefault="00CD6A66" w:rsidP="002664E4">
      <w:pPr>
        <w:pStyle w:val="a3"/>
        <w:tabs>
          <w:tab w:val="left" w:pos="426"/>
          <w:tab w:val="left" w:pos="1134"/>
        </w:tabs>
        <w:autoSpaceDE w:val="0"/>
        <w:autoSpaceDN w:val="0"/>
        <w:adjustRightInd w:val="0"/>
        <w:ind w:left="-709" w:firstLine="709"/>
        <w:jc w:val="both"/>
        <w:rPr>
          <w:rFonts w:eastAsia="Batang"/>
          <w:color w:val="000000"/>
          <w:sz w:val="22"/>
          <w:szCs w:val="22"/>
          <w:lang w:val="en-US" w:eastAsia="ko-KR"/>
        </w:rPr>
      </w:pPr>
    </w:p>
    <w:p w:rsidR="002664E4" w:rsidRPr="00393B78" w:rsidRDefault="002664E4" w:rsidP="002664E4">
      <w:pPr>
        <w:pStyle w:val="a3"/>
        <w:tabs>
          <w:tab w:val="left" w:pos="426"/>
          <w:tab w:val="left" w:pos="1134"/>
        </w:tabs>
        <w:autoSpaceDE w:val="0"/>
        <w:autoSpaceDN w:val="0"/>
        <w:adjustRightInd w:val="0"/>
        <w:ind w:left="-709" w:firstLine="709"/>
        <w:jc w:val="both"/>
        <w:rPr>
          <w:rFonts w:eastAsia="Batang"/>
          <w:color w:val="000000"/>
          <w:sz w:val="22"/>
          <w:szCs w:val="22"/>
          <w:lang w:val="en-US" w:eastAsia="ko-KR"/>
        </w:rPr>
      </w:pPr>
      <w:r w:rsidRPr="00393B78">
        <w:rPr>
          <w:rFonts w:eastAsia="Batang"/>
          <w:color w:val="000000"/>
          <w:sz w:val="22"/>
          <w:szCs w:val="22"/>
          <w:lang w:val="en-US" w:eastAsia="ko-KR"/>
        </w:rPr>
        <w:t xml:space="preserve">In the future </w:t>
      </w:r>
      <w:r w:rsidR="00543086">
        <w:rPr>
          <w:rFonts w:eastAsia="Batang"/>
          <w:color w:val="000000"/>
          <w:sz w:val="22"/>
          <w:szCs w:val="22"/>
          <w:lang w:val="en-US" w:eastAsia="ko-KR"/>
        </w:rPr>
        <w:t>the company</w:t>
      </w:r>
      <w:r w:rsidRPr="00393B78">
        <w:rPr>
          <w:rFonts w:eastAsia="Batang"/>
          <w:color w:val="000000"/>
          <w:sz w:val="22"/>
          <w:szCs w:val="22"/>
          <w:lang w:val="en-US" w:eastAsia="ko-KR"/>
        </w:rPr>
        <w:t xml:space="preserve"> </w:t>
      </w:r>
      <w:r>
        <w:rPr>
          <w:rFonts w:eastAsia="Batang"/>
          <w:color w:val="000000"/>
          <w:sz w:val="22"/>
          <w:szCs w:val="22"/>
          <w:lang w:val="en-US" w:eastAsia="ko-KR"/>
        </w:rPr>
        <w:t>will aim at</w:t>
      </w:r>
      <w:r w:rsidRPr="00393B78">
        <w:rPr>
          <w:rFonts w:eastAsia="Batang"/>
          <w:color w:val="000000"/>
          <w:sz w:val="22"/>
          <w:szCs w:val="22"/>
          <w:lang w:val="en-US" w:eastAsia="ko-KR"/>
        </w:rPr>
        <w:t>:</w:t>
      </w:r>
    </w:p>
    <w:p w:rsidR="003B297E" w:rsidRPr="003B297E" w:rsidRDefault="003B297E" w:rsidP="00CF5769">
      <w:pPr>
        <w:tabs>
          <w:tab w:val="left" w:pos="426"/>
          <w:tab w:val="left" w:pos="1134"/>
        </w:tabs>
        <w:autoSpaceDE w:val="0"/>
        <w:autoSpaceDN w:val="0"/>
        <w:adjustRightInd w:val="0"/>
        <w:ind w:left="-709" w:firstLine="709"/>
        <w:jc w:val="both"/>
        <w:rPr>
          <w:rFonts w:eastAsia="Batang"/>
          <w:color w:val="000000"/>
          <w:sz w:val="22"/>
          <w:szCs w:val="22"/>
          <w:lang w:val="en-US" w:eastAsia="ko-KR"/>
        </w:rPr>
      </w:pPr>
      <w:r w:rsidRPr="003B297E">
        <w:rPr>
          <w:rFonts w:eastAsia="Batang"/>
          <w:color w:val="000000"/>
          <w:sz w:val="22"/>
          <w:szCs w:val="22"/>
          <w:lang w:val="en-US" w:eastAsia="ko-KR"/>
        </w:rPr>
        <w:t xml:space="preserve">• </w:t>
      </w:r>
      <w:r>
        <w:rPr>
          <w:rFonts w:eastAsia="Batang"/>
          <w:color w:val="000000"/>
          <w:sz w:val="22"/>
          <w:szCs w:val="22"/>
          <w:lang w:val="en-US" w:eastAsia="ko-KR"/>
        </w:rPr>
        <w:t>l</w:t>
      </w:r>
      <w:r w:rsidRPr="003B297E">
        <w:rPr>
          <w:rFonts w:eastAsia="Batang"/>
          <w:color w:val="000000"/>
          <w:sz w:val="22"/>
          <w:szCs w:val="22"/>
          <w:lang w:val="en-US" w:eastAsia="ko-KR"/>
        </w:rPr>
        <w:t xml:space="preserve">aunch of the largest in the CIS data center (DC) in Pavlodar </w:t>
      </w:r>
      <w:r>
        <w:rPr>
          <w:rFonts w:eastAsia="Batang"/>
          <w:color w:val="000000"/>
          <w:sz w:val="22"/>
          <w:szCs w:val="22"/>
          <w:lang w:val="en-US" w:eastAsia="ko-KR"/>
        </w:rPr>
        <w:t xml:space="preserve">by </w:t>
      </w:r>
      <w:r w:rsidRPr="003B297E">
        <w:rPr>
          <w:rFonts w:eastAsia="Batang"/>
          <w:color w:val="000000"/>
          <w:sz w:val="22"/>
          <w:szCs w:val="22"/>
          <w:lang w:val="en-US" w:eastAsia="ko-KR"/>
        </w:rPr>
        <w:t>the end of 2012, which will provide a wide range of hosting service</w:t>
      </w:r>
      <w:r>
        <w:rPr>
          <w:rFonts w:eastAsia="Batang"/>
          <w:color w:val="000000"/>
          <w:sz w:val="22"/>
          <w:szCs w:val="22"/>
          <w:lang w:val="en-US" w:eastAsia="ko-KR"/>
        </w:rPr>
        <w:t>s and “</w:t>
      </w:r>
      <w:r w:rsidRPr="003B297E">
        <w:rPr>
          <w:rFonts w:eastAsia="Batang"/>
          <w:color w:val="000000"/>
          <w:sz w:val="22"/>
          <w:szCs w:val="22"/>
          <w:lang w:val="en-US" w:eastAsia="ko-KR"/>
        </w:rPr>
        <w:t>cloud computing</w:t>
      </w:r>
      <w:r>
        <w:rPr>
          <w:rFonts w:eastAsia="Batang"/>
          <w:color w:val="000000"/>
          <w:sz w:val="22"/>
          <w:szCs w:val="22"/>
          <w:lang w:val="en-US" w:eastAsia="ko-KR"/>
        </w:rPr>
        <w:t>”</w:t>
      </w:r>
      <w:r w:rsidRPr="003B297E">
        <w:rPr>
          <w:rFonts w:eastAsia="Batang"/>
          <w:color w:val="000000"/>
          <w:sz w:val="22"/>
          <w:szCs w:val="22"/>
          <w:lang w:val="en-US" w:eastAsia="ko-KR"/>
        </w:rPr>
        <w:t>, both in the domestic and foreign markets;</w:t>
      </w:r>
    </w:p>
    <w:p w:rsidR="003B297E" w:rsidRPr="003B297E" w:rsidRDefault="003B297E" w:rsidP="00CF5769">
      <w:pPr>
        <w:tabs>
          <w:tab w:val="left" w:pos="426"/>
          <w:tab w:val="left" w:pos="1134"/>
        </w:tabs>
        <w:autoSpaceDE w:val="0"/>
        <w:autoSpaceDN w:val="0"/>
        <w:adjustRightInd w:val="0"/>
        <w:ind w:left="-709" w:firstLine="709"/>
        <w:jc w:val="both"/>
        <w:rPr>
          <w:rFonts w:eastAsia="Batang"/>
          <w:color w:val="000000"/>
          <w:sz w:val="22"/>
          <w:szCs w:val="22"/>
          <w:lang w:val="en-US" w:eastAsia="ko-KR"/>
        </w:rPr>
      </w:pPr>
      <w:r w:rsidRPr="003B297E">
        <w:rPr>
          <w:rFonts w:eastAsia="Batang"/>
          <w:color w:val="000000"/>
          <w:sz w:val="22"/>
          <w:szCs w:val="22"/>
          <w:lang w:val="en-US" w:eastAsia="ko-KR"/>
        </w:rPr>
        <w:t xml:space="preserve">• </w:t>
      </w:r>
      <w:proofErr w:type="gramStart"/>
      <w:r w:rsidRPr="003B297E">
        <w:rPr>
          <w:rFonts w:eastAsia="Batang"/>
          <w:color w:val="000000"/>
          <w:sz w:val="22"/>
          <w:szCs w:val="22"/>
          <w:lang w:val="en-US" w:eastAsia="ko-KR"/>
        </w:rPr>
        <w:t>access</w:t>
      </w:r>
      <w:proofErr w:type="gramEnd"/>
      <w:r w:rsidRPr="003B297E">
        <w:rPr>
          <w:rFonts w:eastAsia="Batang"/>
          <w:color w:val="000000"/>
          <w:sz w:val="22"/>
          <w:szCs w:val="22"/>
          <w:lang w:val="en-US" w:eastAsia="ko-KR"/>
        </w:rPr>
        <w:t xml:space="preserve"> to foreign markets for expansion and diversification of its activities;</w:t>
      </w:r>
    </w:p>
    <w:p w:rsidR="00031611" w:rsidRPr="003B297E" w:rsidRDefault="003B297E" w:rsidP="00CF5769">
      <w:pPr>
        <w:tabs>
          <w:tab w:val="left" w:pos="426"/>
          <w:tab w:val="left" w:pos="1134"/>
        </w:tabs>
        <w:autoSpaceDE w:val="0"/>
        <w:autoSpaceDN w:val="0"/>
        <w:adjustRightInd w:val="0"/>
        <w:ind w:left="-709" w:firstLine="709"/>
        <w:jc w:val="both"/>
        <w:rPr>
          <w:rFonts w:eastAsia="Batang"/>
          <w:color w:val="000000"/>
          <w:sz w:val="22"/>
          <w:szCs w:val="22"/>
          <w:lang w:val="en-US" w:eastAsia="ko-KR"/>
        </w:rPr>
      </w:pPr>
      <w:r w:rsidRPr="003B297E">
        <w:rPr>
          <w:rFonts w:eastAsia="Batang"/>
          <w:color w:val="000000"/>
          <w:sz w:val="22"/>
          <w:szCs w:val="22"/>
          <w:lang w:val="en-US" w:eastAsia="ko-KR"/>
        </w:rPr>
        <w:t xml:space="preserve">• </w:t>
      </w:r>
      <w:proofErr w:type="gramStart"/>
      <w:r w:rsidRPr="003B297E">
        <w:rPr>
          <w:rFonts w:eastAsia="Batang"/>
          <w:color w:val="000000"/>
          <w:sz w:val="22"/>
          <w:szCs w:val="22"/>
          <w:lang w:val="en-US" w:eastAsia="ko-KR"/>
        </w:rPr>
        <w:t>modernization</w:t>
      </w:r>
      <w:proofErr w:type="gramEnd"/>
      <w:r w:rsidRPr="003B297E">
        <w:rPr>
          <w:rFonts w:eastAsia="Batang"/>
          <w:color w:val="000000"/>
          <w:sz w:val="22"/>
          <w:szCs w:val="22"/>
          <w:lang w:val="en-US" w:eastAsia="ko-KR"/>
        </w:rPr>
        <w:t xml:space="preserve"> of existing and construction of new </w:t>
      </w:r>
      <w:r>
        <w:rPr>
          <w:rFonts w:eastAsia="Batang"/>
          <w:color w:val="000000"/>
          <w:sz w:val="22"/>
          <w:szCs w:val="22"/>
          <w:lang w:val="en-US" w:eastAsia="ko-KR"/>
        </w:rPr>
        <w:t xml:space="preserve">backbone network </w:t>
      </w:r>
      <w:r w:rsidRPr="003B297E">
        <w:rPr>
          <w:rFonts w:eastAsia="Batang"/>
          <w:color w:val="000000"/>
          <w:sz w:val="22"/>
          <w:szCs w:val="22"/>
          <w:lang w:val="en-US" w:eastAsia="ko-KR"/>
        </w:rPr>
        <w:t>joints with telecommunications of foreign operators</w:t>
      </w:r>
      <w:r w:rsidR="00031611" w:rsidRPr="003B297E">
        <w:rPr>
          <w:rFonts w:eastAsia="Batang"/>
          <w:color w:val="000000"/>
          <w:sz w:val="22"/>
          <w:szCs w:val="22"/>
          <w:lang w:val="en-US" w:eastAsia="ko-KR"/>
        </w:rPr>
        <w:t>.</w:t>
      </w:r>
    </w:p>
    <w:p w:rsidR="00031611" w:rsidRDefault="00031611" w:rsidP="003B297E">
      <w:pPr>
        <w:pStyle w:val="a3"/>
        <w:tabs>
          <w:tab w:val="left" w:pos="426"/>
          <w:tab w:val="left" w:pos="1134"/>
        </w:tabs>
        <w:autoSpaceDE w:val="0"/>
        <w:autoSpaceDN w:val="0"/>
        <w:adjustRightInd w:val="0"/>
        <w:ind w:left="0"/>
        <w:jc w:val="both"/>
        <w:rPr>
          <w:rFonts w:eastAsia="Batang"/>
          <w:color w:val="000000"/>
          <w:sz w:val="22"/>
          <w:szCs w:val="22"/>
          <w:lang w:val="en-US" w:eastAsia="ko-KR"/>
        </w:rPr>
      </w:pPr>
    </w:p>
    <w:p w:rsidR="002664E4" w:rsidRDefault="002664E4" w:rsidP="002664E4">
      <w:pPr>
        <w:pStyle w:val="a3"/>
        <w:tabs>
          <w:tab w:val="left" w:pos="426"/>
          <w:tab w:val="left" w:pos="1134"/>
        </w:tabs>
        <w:autoSpaceDE w:val="0"/>
        <w:autoSpaceDN w:val="0"/>
        <w:adjustRightInd w:val="0"/>
        <w:ind w:left="-709" w:firstLine="709"/>
        <w:jc w:val="both"/>
        <w:rPr>
          <w:rFonts w:eastAsia="Batang"/>
          <w:color w:val="000000"/>
          <w:sz w:val="22"/>
          <w:szCs w:val="22"/>
          <w:lang w:val="en-US" w:eastAsia="ko-KR"/>
        </w:rPr>
      </w:pPr>
      <w:r w:rsidRPr="00393B78">
        <w:rPr>
          <w:rFonts w:eastAsia="Batang"/>
          <w:color w:val="000000"/>
          <w:sz w:val="22"/>
          <w:szCs w:val="22"/>
          <w:lang w:val="en-US" w:eastAsia="ko-KR"/>
        </w:rPr>
        <w:t xml:space="preserve">The following are the main factors in net profit for this segment in </w:t>
      </w:r>
      <w:r w:rsidR="003B297E">
        <w:rPr>
          <w:rFonts w:eastAsia="Batang"/>
          <w:color w:val="000000"/>
          <w:sz w:val="22"/>
          <w:szCs w:val="22"/>
          <w:lang w:val="en-US" w:eastAsia="ko-KR"/>
        </w:rPr>
        <w:t xml:space="preserve">the reporting period </w:t>
      </w:r>
      <w:r w:rsidRPr="00393B78">
        <w:rPr>
          <w:rFonts w:eastAsia="Batang"/>
          <w:color w:val="000000"/>
          <w:sz w:val="22"/>
          <w:szCs w:val="22"/>
          <w:lang w:val="en-US" w:eastAsia="ko-KR"/>
        </w:rPr>
        <w:t xml:space="preserve">compared to </w:t>
      </w:r>
      <w:r w:rsidR="003B297E">
        <w:rPr>
          <w:rFonts w:eastAsia="Batang"/>
          <w:color w:val="000000"/>
          <w:sz w:val="22"/>
          <w:szCs w:val="22"/>
          <w:lang w:val="en-US" w:eastAsia="ko-KR"/>
        </w:rPr>
        <w:t>the same period of 2011.</w:t>
      </w:r>
    </w:p>
    <w:p w:rsidR="00CA2386" w:rsidRPr="00393B78" w:rsidRDefault="00CA2386" w:rsidP="002664E4">
      <w:pPr>
        <w:pStyle w:val="a3"/>
        <w:tabs>
          <w:tab w:val="left" w:pos="426"/>
          <w:tab w:val="left" w:pos="1134"/>
        </w:tabs>
        <w:autoSpaceDE w:val="0"/>
        <w:autoSpaceDN w:val="0"/>
        <w:adjustRightInd w:val="0"/>
        <w:ind w:left="-709" w:firstLine="709"/>
        <w:jc w:val="both"/>
        <w:rPr>
          <w:rFonts w:eastAsia="Batang"/>
          <w:color w:val="000000"/>
          <w:lang w:val="en-US" w:eastAsia="ko-KR"/>
        </w:rPr>
      </w:pPr>
    </w:p>
    <w:tbl>
      <w:tblPr>
        <w:tblW w:w="9765" w:type="dxa"/>
        <w:tblInd w:w="-625" w:type="dxa"/>
        <w:tblLook w:val="04A0" w:firstRow="1" w:lastRow="0" w:firstColumn="1" w:lastColumn="0" w:noHBand="0" w:noVBand="1"/>
      </w:tblPr>
      <w:tblGrid>
        <w:gridCol w:w="8223"/>
        <w:gridCol w:w="1542"/>
      </w:tblGrid>
      <w:tr w:rsidR="002664E4" w:rsidRPr="00E62908" w:rsidTr="00CF5769">
        <w:trPr>
          <w:trHeight w:val="360"/>
        </w:trPr>
        <w:tc>
          <w:tcPr>
            <w:tcW w:w="822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64E4" w:rsidRPr="000239FF" w:rsidRDefault="002664E4" w:rsidP="00770BC8">
            <w:pPr>
              <w:shd w:val="clear" w:color="auto" w:fill="FFFFFF" w:themeFill="background1"/>
              <w:jc w:val="center"/>
              <w:rPr>
                <w:b/>
                <w:bCs/>
                <w:sz w:val="18"/>
                <w:szCs w:val="18"/>
              </w:rPr>
            </w:pPr>
            <w:r>
              <w:rPr>
                <w:b/>
                <w:bCs/>
                <w:sz w:val="18"/>
                <w:szCs w:val="18"/>
                <w:lang w:val="en-US"/>
              </w:rPr>
              <w:t>Factors</w:t>
            </w:r>
            <w:r w:rsidRPr="000239FF">
              <w:rPr>
                <w:b/>
                <w:bCs/>
                <w:sz w:val="18"/>
                <w:szCs w:val="18"/>
              </w:rPr>
              <w:t> </w:t>
            </w:r>
          </w:p>
        </w:tc>
        <w:tc>
          <w:tcPr>
            <w:tcW w:w="1542" w:type="dxa"/>
            <w:tcBorders>
              <w:top w:val="single" w:sz="4" w:space="0" w:color="auto"/>
              <w:left w:val="single" w:sz="4" w:space="0" w:color="auto"/>
              <w:bottom w:val="single" w:sz="4" w:space="0" w:color="auto"/>
              <w:right w:val="single" w:sz="4" w:space="0" w:color="auto"/>
            </w:tcBorders>
            <w:shd w:val="clear" w:color="000000" w:fill="FFFFFF"/>
            <w:vAlign w:val="center"/>
          </w:tcPr>
          <w:p w:rsidR="002664E4" w:rsidRPr="00393B78" w:rsidRDefault="002664E4" w:rsidP="00770BC8">
            <w:pPr>
              <w:shd w:val="clear" w:color="auto" w:fill="FFFFFF" w:themeFill="background1"/>
              <w:jc w:val="center"/>
              <w:rPr>
                <w:b/>
                <w:bCs/>
                <w:sz w:val="18"/>
                <w:szCs w:val="18"/>
                <w:lang w:val="en-US"/>
              </w:rPr>
            </w:pPr>
            <w:r>
              <w:rPr>
                <w:b/>
                <w:bCs/>
                <w:sz w:val="18"/>
                <w:szCs w:val="18"/>
                <w:lang w:val="en-US"/>
              </w:rPr>
              <w:t xml:space="preserve">Changes, </w:t>
            </w:r>
            <w:r w:rsidR="000A43AE">
              <w:rPr>
                <w:b/>
                <w:bCs/>
                <w:sz w:val="18"/>
                <w:szCs w:val="18"/>
                <w:lang w:val="en-US"/>
              </w:rPr>
              <w:t>billion</w:t>
            </w:r>
            <w:r>
              <w:rPr>
                <w:b/>
                <w:bCs/>
                <w:sz w:val="18"/>
                <w:szCs w:val="18"/>
                <w:lang w:val="en-US"/>
              </w:rPr>
              <w:t xml:space="preserve"> KZT</w:t>
            </w:r>
          </w:p>
        </w:tc>
      </w:tr>
      <w:tr w:rsidR="00EB4F66" w:rsidRPr="00E62908" w:rsidTr="00CF5769">
        <w:trPr>
          <w:trHeight w:val="761"/>
        </w:trPr>
        <w:tc>
          <w:tcPr>
            <w:tcW w:w="8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F66" w:rsidRPr="00393B78" w:rsidRDefault="00EB4F66" w:rsidP="003B297E">
            <w:pPr>
              <w:shd w:val="clear" w:color="auto" w:fill="FFFFFF" w:themeFill="background1"/>
              <w:rPr>
                <w:sz w:val="18"/>
                <w:szCs w:val="18"/>
                <w:lang w:val="en-US"/>
              </w:rPr>
            </w:pPr>
            <w:r>
              <w:rPr>
                <w:b/>
                <w:color w:val="000000"/>
                <w:sz w:val="18"/>
                <w:szCs w:val="18"/>
                <w:lang w:val="en-US"/>
              </w:rPr>
              <w:t>Net</w:t>
            </w:r>
            <w:r w:rsidRPr="00393B78">
              <w:rPr>
                <w:b/>
                <w:color w:val="000000"/>
                <w:sz w:val="18"/>
                <w:szCs w:val="18"/>
                <w:lang w:val="en-US"/>
              </w:rPr>
              <w:t xml:space="preserve"> </w:t>
            </w:r>
            <w:r>
              <w:rPr>
                <w:b/>
                <w:color w:val="000000"/>
                <w:sz w:val="18"/>
                <w:szCs w:val="18"/>
                <w:lang w:val="en-US"/>
              </w:rPr>
              <w:t>profit</w:t>
            </w:r>
            <w:r w:rsidRPr="00393B78">
              <w:rPr>
                <w:b/>
                <w:color w:val="000000"/>
                <w:sz w:val="18"/>
                <w:szCs w:val="18"/>
                <w:lang w:val="en-US"/>
              </w:rPr>
              <w:t xml:space="preserve"> (</w:t>
            </w:r>
            <w:r>
              <w:rPr>
                <w:b/>
                <w:color w:val="000000"/>
                <w:sz w:val="18"/>
                <w:szCs w:val="18"/>
                <w:lang w:val="en-US"/>
              </w:rPr>
              <w:t>KZT</w:t>
            </w:r>
            <w:r w:rsidRPr="00393B78">
              <w:rPr>
                <w:b/>
                <w:color w:val="000000"/>
                <w:sz w:val="18"/>
                <w:szCs w:val="18"/>
                <w:lang w:val="en-US"/>
              </w:rPr>
              <w:t xml:space="preserve"> </w:t>
            </w:r>
            <w:r>
              <w:rPr>
                <w:b/>
                <w:color w:val="000000"/>
                <w:sz w:val="18"/>
                <w:szCs w:val="18"/>
                <w:lang w:val="en-US"/>
              </w:rPr>
              <w:t>214</w:t>
            </w:r>
            <w:r w:rsidRPr="00393B78">
              <w:rPr>
                <w:b/>
                <w:color w:val="000000"/>
                <w:sz w:val="18"/>
                <w:szCs w:val="18"/>
                <w:lang w:val="en-US"/>
              </w:rPr>
              <w:t xml:space="preserve"> </w:t>
            </w:r>
            <w:r>
              <w:rPr>
                <w:b/>
                <w:color w:val="000000"/>
                <w:sz w:val="18"/>
                <w:szCs w:val="18"/>
                <w:lang w:val="en-US"/>
              </w:rPr>
              <w:t>billion for</w:t>
            </w:r>
            <w:r w:rsidRPr="00393B78">
              <w:rPr>
                <w:b/>
                <w:color w:val="000000"/>
                <w:sz w:val="18"/>
                <w:szCs w:val="18"/>
                <w:lang w:val="en-US"/>
              </w:rPr>
              <w:t xml:space="preserve"> </w:t>
            </w:r>
            <w:r>
              <w:rPr>
                <w:b/>
                <w:color w:val="000000"/>
                <w:sz w:val="18"/>
                <w:szCs w:val="18"/>
                <w:lang w:val="en-US"/>
              </w:rPr>
              <w:t>the period</w:t>
            </w:r>
            <w:r w:rsidRPr="00393B78">
              <w:rPr>
                <w:b/>
                <w:color w:val="000000"/>
                <w:sz w:val="18"/>
                <w:szCs w:val="18"/>
                <w:lang w:val="en-US"/>
              </w:rPr>
              <w:t xml:space="preserve">;  </w:t>
            </w:r>
            <w:r>
              <w:rPr>
                <w:b/>
                <w:color w:val="000000"/>
                <w:sz w:val="18"/>
                <w:szCs w:val="18"/>
                <w:lang w:val="en-US"/>
              </w:rPr>
              <w:t>KZT 30</w:t>
            </w:r>
            <w:r w:rsidRPr="00393B78">
              <w:rPr>
                <w:b/>
                <w:color w:val="000000"/>
                <w:sz w:val="18"/>
                <w:szCs w:val="18"/>
                <w:lang w:val="en-US"/>
              </w:rPr>
              <w:t xml:space="preserve"> </w:t>
            </w:r>
            <w:r>
              <w:rPr>
                <w:b/>
                <w:color w:val="000000"/>
                <w:sz w:val="18"/>
                <w:szCs w:val="18"/>
                <w:lang w:val="en-US"/>
              </w:rPr>
              <w:t>billion for the same period of 2011</w:t>
            </w:r>
            <w:r w:rsidRPr="00393B78">
              <w:rPr>
                <w:b/>
                <w:color w:val="000000"/>
                <w:sz w:val="18"/>
                <w:szCs w:val="18"/>
                <w:lang w:val="en-US"/>
              </w:rPr>
              <w: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B4F66" w:rsidRPr="00667479" w:rsidRDefault="00EB4F66" w:rsidP="00AF47B9">
            <w:pPr>
              <w:shd w:val="clear" w:color="auto" w:fill="FFFFFF"/>
              <w:jc w:val="center"/>
              <w:rPr>
                <w:b/>
                <w:bCs/>
                <w:sz w:val="18"/>
                <w:szCs w:val="18"/>
              </w:rPr>
            </w:pPr>
            <w:r w:rsidRPr="00EB4F66">
              <w:rPr>
                <w:b/>
                <w:bCs/>
                <w:sz w:val="18"/>
                <w:szCs w:val="18"/>
                <w:lang w:val="en-US"/>
              </w:rPr>
              <w:t xml:space="preserve"> </w:t>
            </w:r>
            <w:r w:rsidRPr="00667479">
              <w:rPr>
                <w:b/>
                <w:bCs/>
                <w:sz w:val="18"/>
                <w:szCs w:val="18"/>
              </w:rPr>
              <w:t>184</w:t>
            </w:r>
          </w:p>
        </w:tc>
      </w:tr>
      <w:tr w:rsidR="00EB4F66" w:rsidRPr="00E62908" w:rsidTr="00CF5769">
        <w:trPr>
          <w:trHeight w:val="360"/>
        </w:trPr>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EB4F66" w:rsidRPr="00421A0C" w:rsidRDefault="00EB4F66" w:rsidP="003B297E">
            <w:pPr>
              <w:rPr>
                <w:b/>
                <w:color w:val="000000"/>
                <w:sz w:val="18"/>
                <w:szCs w:val="18"/>
                <w:lang w:val="en-US"/>
              </w:rPr>
            </w:pPr>
            <w:r>
              <w:rPr>
                <w:b/>
                <w:color w:val="000000"/>
                <w:sz w:val="18"/>
                <w:szCs w:val="18"/>
                <w:lang w:val="en-US"/>
              </w:rPr>
              <w:t>Income from stopped activities (LLP “GSM Kazakhstan” “</w:t>
            </w:r>
            <w:proofErr w:type="spellStart"/>
            <w:r>
              <w:rPr>
                <w:b/>
                <w:color w:val="000000"/>
                <w:sz w:val="18"/>
                <w:szCs w:val="18"/>
                <w:lang w:val="en-US"/>
              </w:rPr>
              <w:t>Kazakhtelecom</w:t>
            </w:r>
            <w:proofErr w:type="spellEnd"/>
            <w:r>
              <w:rPr>
                <w:b/>
                <w:color w:val="000000"/>
                <w:sz w:val="18"/>
                <w:szCs w:val="18"/>
                <w:lang w:val="en-US"/>
              </w:rPr>
              <w:t>” JSC)</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B4F66" w:rsidRPr="00667479" w:rsidRDefault="00EB4F66" w:rsidP="00AF47B9">
            <w:pPr>
              <w:shd w:val="clear" w:color="auto" w:fill="FFFFFF"/>
              <w:jc w:val="center"/>
              <w:rPr>
                <w:sz w:val="18"/>
                <w:szCs w:val="18"/>
              </w:rPr>
            </w:pPr>
            <w:r w:rsidRPr="00667479">
              <w:rPr>
                <w:sz w:val="18"/>
                <w:szCs w:val="18"/>
              </w:rPr>
              <w:t>18</w:t>
            </w:r>
            <w:r>
              <w:rPr>
                <w:sz w:val="18"/>
                <w:szCs w:val="18"/>
              </w:rPr>
              <w:t>5</w:t>
            </w:r>
          </w:p>
        </w:tc>
      </w:tr>
      <w:tr w:rsidR="00EB4F66" w:rsidRPr="00E62908" w:rsidTr="00CF5769">
        <w:trPr>
          <w:trHeight w:val="252"/>
        </w:trPr>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EB4F66" w:rsidRPr="00421A0C" w:rsidRDefault="00EB4F66" w:rsidP="00770BC8">
            <w:pPr>
              <w:rPr>
                <w:b/>
                <w:color w:val="000000"/>
                <w:sz w:val="18"/>
                <w:szCs w:val="18"/>
                <w:lang w:val="en-US"/>
              </w:rPr>
            </w:pPr>
            <w:r>
              <w:rPr>
                <w:b/>
                <w:color w:val="000000"/>
                <w:sz w:val="18"/>
                <w:szCs w:val="18"/>
                <w:lang w:val="en-US"/>
              </w:rPr>
              <w:t xml:space="preserve">Amortization expenses </w:t>
            </w:r>
            <w:r w:rsidRPr="003B297E">
              <w:rPr>
                <w:color w:val="000000"/>
                <w:sz w:val="18"/>
                <w:szCs w:val="18"/>
                <w:lang w:val="en-US"/>
              </w:rPr>
              <w:t>(in connection with the ongoing modernization, early withdrawal of the equipment)</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B4F66" w:rsidRPr="00667479" w:rsidRDefault="00EB4F66" w:rsidP="00AF47B9">
            <w:pPr>
              <w:shd w:val="clear" w:color="auto" w:fill="FFFFFF"/>
              <w:jc w:val="center"/>
              <w:rPr>
                <w:sz w:val="18"/>
                <w:szCs w:val="18"/>
              </w:rPr>
            </w:pPr>
            <w:r w:rsidRPr="00667479">
              <w:rPr>
                <w:sz w:val="18"/>
                <w:szCs w:val="18"/>
              </w:rPr>
              <w:t>2</w:t>
            </w:r>
          </w:p>
        </w:tc>
      </w:tr>
      <w:tr w:rsidR="00EB4F66" w:rsidRPr="00E62908" w:rsidTr="00CF5769">
        <w:trPr>
          <w:trHeight w:val="283"/>
        </w:trPr>
        <w:tc>
          <w:tcPr>
            <w:tcW w:w="8223" w:type="dxa"/>
            <w:tcBorders>
              <w:top w:val="single" w:sz="4" w:space="0" w:color="auto"/>
              <w:left w:val="single" w:sz="4" w:space="0" w:color="auto"/>
              <w:bottom w:val="single" w:sz="4" w:space="0" w:color="auto"/>
              <w:right w:val="single" w:sz="4" w:space="0" w:color="auto"/>
            </w:tcBorders>
            <w:shd w:val="clear" w:color="auto" w:fill="auto"/>
          </w:tcPr>
          <w:p w:rsidR="00EB4F66" w:rsidRPr="00421A0C" w:rsidRDefault="00EB4F66" w:rsidP="00EB4F66">
            <w:pPr>
              <w:rPr>
                <w:b/>
                <w:color w:val="000000"/>
                <w:sz w:val="18"/>
                <w:szCs w:val="18"/>
                <w:lang w:val="en-US"/>
              </w:rPr>
            </w:pPr>
            <w:r w:rsidRPr="00EB4F66">
              <w:rPr>
                <w:b/>
                <w:color w:val="000000"/>
                <w:sz w:val="18"/>
                <w:szCs w:val="18"/>
                <w:lang w:val="en-US"/>
              </w:rPr>
              <w:t xml:space="preserve">Labor </w:t>
            </w:r>
            <w:r>
              <w:rPr>
                <w:b/>
                <w:color w:val="000000"/>
                <w:sz w:val="18"/>
                <w:szCs w:val="18"/>
                <w:lang w:val="en-US"/>
              </w:rPr>
              <w:t>c</w:t>
            </w:r>
            <w:r w:rsidRPr="00EB4F66">
              <w:rPr>
                <w:b/>
                <w:color w:val="000000"/>
                <w:sz w:val="18"/>
                <w:szCs w:val="18"/>
                <w:lang w:val="en-US"/>
              </w:rPr>
              <w:t xml:space="preserve">osts </w:t>
            </w:r>
            <w:r w:rsidRPr="00EB4F66">
              <w:rPr>
                <w:color w:val="000000"/>
                <w:sz w:val="18"/>
                <w:szCs w:val="18"/>
                <w:lang w:val="en-US"/>
              </w:rPr>
              <w:t>(in the 1st half of this year the employees were rewarded in connection with the transfer of the professional holiday from August 5 to 28 June)</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B4F66" w:rsidRPr="00667479" w:rsidRDefault="00EB4F66" w:rsidP="00AF47B9">
            <w:pPr>
              <w:shd w:val="clear" w:color="auto" w:fill="FFFFFF"/>
              <w:jc w:val="center"/>
              <w:rPr>
                <w:sz w:val="18"/>
                <w:szCs w:val="18"/>
              </w:rPr>
            </w:pPr>
            <w:r w:rsidRPr="00667479">
              <w:rPr>
                <w:sz w:val="18"/>
                <w:szCs w:val="18"/>
              </w:rPr>
              <w:t>-2</w:t>
            </w:r>
          </w:p>
        </w:tc>
      </w:tr>
      <w:tr w:rsidR="00EB4F66" w:rsidRPr="00E62908" w:rsidTr="00CF5769">
        <w:trPr>
          <w:trHeight w:val="360"/>
        </w:trPr>
        <w:tc>
          <w:tcPr>
            <w:tcW w:w="8223" w:type="dxa"/>
            <w:tcBorders>
              <w:top w:val="single" w:sz="4" w:space="0" w:color="auto"/>
              <w:left w:val="single" w:sz="4" w:space="0" w:color="auto"/>
              <w:bottom w:val="single" w:sz="4" w:space="0" w:color="auto"/>
              <w:right w:val="single" w:sz="4" w:space="0" w:color="auto"/>
            </w:tcBorders>
            <w:shd w:val="clear" w:color="auto" w:fill="auto"/>
            <w:hideMark/>
          </w:tcPr>
          <w:p w:rsidR="00EB4F66" w:rsidRPr="00421A0C" w:rsidRDefault="00EB4F66" w:rsidP="00770BC8">
            <w:pPr>
              <w:rPr>
                <w:b/>
                <w:color w:val="000000"/>
                <w:sz w:val="18"/>
                <w:szCs w:val="18"/>
                <w:lang w:val="en-US"/>
              </w:rPr>
            </w:pPr>
            <w:r w:rsidRPr="00421A0C">
              <w:rPr>
                <w:b/>
                <w:color w:val="000000"/>
                <w:sz w:val="18"/>
                <w:szCs w:val="18"/>
                <w:lang w:val="en-US"/>
              </w:rPr>
              <w:t>Other</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rsidR="00EB4F66" w:rsidRPr="00667479" w:rsidRDefault="00EB4F66" w:rsidP="00AF47B9">
            <w:pPr>
              <w:shd w:val="clear" w:color="auto" w:fill="FFFFFF"/>
              <w:jc w:val="center"/>
              <w:rPr>
                <w:sz w:val="18"/>
                <w:szCs w:val="18"/>
              </w:rPr>
            </w:pPr>
            <w:r w:rsidRPr="00667479">
              <w:rPr>
                <w:sz w:val="18"/>
                <w:szCs w:val="18"/>
              </w:rPr>
              <w:t>-</w:t>
            </w:r>
            <w:r>
              <w:rPr>
                <w:sz w:val="18"/>
                <w:szCs w:val="18"/>
              </w:rPr>
              <w:t>2</w:t>
            </w:r>
          </w:p>
        </w:tc>
      </w:tr>
    </w:tbl>
    <w:p w:rsidR="002664E4" w:rsidRDefault="002664E4" w:rsidP="002664E4">
      <w:pPr>
        <w:tabs>
          <w:tab w:val="left" w:pos="426"/>
          <w:tab w:val="left" w:pos="993"/>
        </w:tabs>
        <w:autoSpaceDE w:val="0"/>
        <w:autoSpaceDN w:val="0"/>
        <w:adjustRightInd w:val="0"/>
        <w:ind w:left="-709" w:firstLine="709"/>
        <w:jc w:val="both"/>
        <w:rPr>
          <w:rFonts w:ascii="Arial" w:hAnsi="Arial" w:cs="Arial"/>
          <w:b/>
        </w:rPr>
      </w:pPr>
    </w:p>
    <w:p w:rsidR="002664E4" w:rsidRPr="00C20F55" w:rsidRDefault="002664E4" w:rsidP="002664E4">
      <w:pPr>
        <w:tabs>
          <w:tab w:val="left" w:pos="426"/>
        </w:tabs>
        <w:autoSpaceDE w:val="0"/>
        <w:autoSpaceDN w:val="0"/>
        <w:adjustRightInd w:val="0"/>
        <w:ind w:left="-709" w:firstLine="709"/>
        <w:jc w:val="both"/>
        <w:rPr>
          <w:sz w:val="22"/>
          <w:szCs w:val="22"/>
          <w:lang w:val="en-US"/>
        </w:rPr>
      </w:pPr>
      <w:r w:rsidRPr="00C20F55">
        <w:rPr>
          <w:b/>
          <w:sz w:val="22"/>
          <w:szCs w:val="22"/>
          <w:lang w:val="en-US"/>
        </w:rPr>
        <w:t xml:space="preserve">Capital costs </w:t>
      </w:r>
      <w:r w:rsidRPr="00C20F55">
        <w:rPr>
          <w:sz w:val="22"/>
          <w:szCs w:val="22"/>
          <w:lang w:val="en-US"/>
        </w:rPr>
        <w:t xml:space="preserve">for this segment in </w:t>
      </w:r>
      <w:r w:rsidR="00F67C5E">
        <w:rPr>
          <w:sz w:val="22"/>
          <w:szCs w:val="22"/>
          <w:lang w:val="en-US"/>
        </w:rPr>
        <w:t>the reporting period</w:t>
      </w:r>
      <w:r w:rsidRPr="00C20F55">
        <w:rPr>
          <w:sz w:val="22"/>
          <w:szCs w:val="22"/>
          <w:lang w:val="en-US"/>
        </w:rPr>
        <w:t xml:space="preserve"> amounted to </w:t>
      </w:r>
      <w:r>
        <w:rPr>
          <w:sz w:val="22"/>
          <w:szCs w:val="22"/>
          <w:lang w:val="en-US"/>
        </w:rPr>
        <w:t xml:space="preserve">KZT </w:t>
      </w:r>
      <w:r w:rsidR="00F67C5E">
        <w:rPr>
          <w:sz w:val="22"/>
          <w:szCs w:val="22"/>
          <w:lang w:val="en-US"/>
        </w:rPr>
        <w:t>7.2</w:t>
      </w:r>
      <w:r>
        <w:rPr>
          <w:sz w:val="22"/>
          <w:szCs w:val="22"/>
          <w:lang w:val="en-US"/>
        </w:rPr>
        <w:t xml:space="preserve"> billion,</w:t>
      </w:r>
      <w:r w:rsidRPr="00C20F55">
        <w:rPr>
          <w:sz w:val="22"/>
          <w:szCs w:val="22"/>
          <w:lang w:val="en-US"/>
        </w:rPr>
        <w:t xml:space="preserve"> </w:t>
      </w:r>
      <w:r>
        <w:rPr>
          <w:sz w:val="22"/>
          <w:szCs w:val="22"/>
          <w:lang w:val="en-US"/>
        </w:rPr>
        <w:t xml:space="preserve">KZT </w:t>
      </w:r>
      <w:r w:rsidR="00F67C5E">
        <w:rPr>
          <w:sz w:val="22"/>
          <w:szCs w:val="22"/>
          <w:lang w:val="en-US"/>
        </w:rPr>
        <w:t>2.4</w:t>
      </w:r>
      <w:r w:rsidRPr="00C20F55">
        <w:rPr>
          <w:sz w:val="22"/>
          <w:szCs w:val="22"/>
          <w:lang w:val="en-US"/>
        </w:rPr>
        <w:t xml:space="preserve"> billion </w:t>
      </w:r>
      <w:r>
        <w:rPr>
          <w:sz w:val="22"/>
          <w:szCs w:val="22"/>
          <w:lang w:val="en-US"/>
        </w:rPr>
        <w:t xml:space="preserve">of which –for </w:t>
      </w:r>
      <w:r w:rsidRPr="00C20F55">
        <w:rPr>
          <w:sz w:val="22"/>
          <w:szCs w:val="22"/>
          <w:lang w:val="en-US"/>
        </w:rPr>
        <w:t>maintenance of productive assets and other fixed assets</w:t>
      </w:r>
      <w:r>
        <w:rPr>
          <w:sz w:val="22"/>
          <w:szCs w:val="22"/>
          <w:lang w:val="en-US"/>
        </w:rPr>
        <w:t>,</w:t>
      </w:r>
      <w:r w:rsidRPr="00C20F55">
        <w:rPr>
          <w:sz w:val="22"/>
          <w:szCs w:val="22"/>
          <w:lang w:val="en-US"/>
        </w:rPr>
        <w:t xml:space="preserve"> and </w:t>
      </w:r>
      <w:r>
        <w:rPr>
          <w:sz w:val="22"/>
          <w:szCs w:val="22"/>
          <w:lang w:val="en-US"/>
        </w:rPr>
        <w:t xml:space="preserve">for </w:t>
      </w:r>
      <w:r w:rsidRPr="00C20F55">
        <w:rPr>
          <w:sz w:val="22"/>
          <w:szCs w:val="22"/>
          <w:lang w:val="en-US"/>
        </w:rPr>
        <w:t xml:space="preserve">development </w:t>
      </w:r>
      <w:r>
        <w:rPr>
          <w:sz w:val="22"/>
          <w:szCs w:val="22"/>
          <w:lang w:val="en-US"/>
        </w:rPr>
        <w:t>–</w:t>
      </w:r>
      <w:r w:rsidRPr="00C20F55">
        <w:rPr>
          <w:sz w:val="22"/>
          <w:szCs w:val="22"/>
          <w:lang w:val="en-US"/>
        </w:rPr>
        <w:t xml:space="preserve"> </w:t>
      </w:r>
      <w:r>
        <w:rPr>
          <w:sz w:val="22"/>
          <w:szCs w:val="22"/>
          <w:lang w:val="en-US"/>
        </w:rPr>
        <w:t xml:space="preserve">KZT </w:t>
      </w:r>
      <w:r w:rsidR="00F67C5E">
        <w:rPr>
          <w:sz w:val="22"/>
          <w:szCs w:val="22"/>
          <w:lang w:val="en-US"/>
        </w:rPr>
        <w:t>4.8</w:t>
      </w:r>
      <w:r w:rsidRPr="00C20F55">
        <w:rPr>
          <w:sz w:val="22"/>
          <w:szCs w:val="22"/>
          <w:lang w:val="en-US"/>
        </w:rPr>
        <w:t xml:space="preserve"> billion</w:t>
      </w:r>
      <w:r>
        <w:rPr>
          <w:sz w:val="22"/>
          <w:szCs w:val="22"/>
          <w:lang w:val="en-US"/>
        </w:rPr>
        <w:t>. Capital costs</w:t>
      </w:r>
      <w:r w:rsidRPr="00C20F55">
        <w:rPr>
          <w:sz w:val="22"/>
          <w:szCs w:val="22"/>
          <w:lang w:val="en-US"/>
        </w:rPr>
        <w:t xml:space="preserve"> mainly </w:t>
      </w:r>
      <w:r>
        <w:rPr>
          <w:sz w:val="22"/>
          <w:szCs w:val="22"/>
          <w:lang w:val="en-US"/>
        </w:rPr>
        <w:t>aimed at</w:t>
      </w:r>
      <w:r w:rsidRPr="00C20F55">
        <w:rPr>
          <w:sz w:val="22"/>
          <w:szCs w:val="22"/>
          <w:lang w:val="en-US"/>
        </w:rPr>
        <w:t xml:space="preserve"> the following projects:</w:t>
      </w:r>
    </w:p>
    <w:p w:rsidR="002664E4" w:rsidRPr="00CD6A66" w:rsidRDefault="002664E4" w:rsidP="00CD6A66">
      <w:pPr>
        <w:pStyle w:val="a3"/>
        <w:numPr>
          <w:ilvl w:val="0"/>
          <w:numId w:val="39"/>
        </w:numPr>
        <w:tabs>
          <w:tab w:val="left" w:pos="284"/>
        </w:tabs>
        <w:autoSpaceDE w:val="0"/>
        <w:autoSpaceDN w:val="0"/>
        <w:adjustRightInd w:val="0"/>
        <w:ind w:left="-709" w:firstLine="709"/>
        <w:jc w:val="both"/>
        <w:rPr>
          <w:sz w:val="22"/>
          <w:szCs w:val="22"/>
          <w:lang w:val="en-US"/>
        </w:rPr>
      </w:pPr>
      <w:r w:rsidRPr="00CD6A66">
        <w:rPr>
          <w:sz w:val="22"/>
          <w:szCs w:val="22"/>
          <w:lang w:val="en-US"/>
        </w:rPr>
        <w:t>“Development of WLL CDMA network in rural areas of the Republic of Kazakhstan</w:t>
      </w:r>
      <w:r w:rsidR="00031D3F" w:rsidRPr="00CD6A66">
        <w:rPr>
          <w:sz w:val="22"/>
          <w:szCs w:val="22"/>
          <w:lang w:val="en-US"/>
        </w:rPr>
        <w:t>”</w:t>
      </w:r>
      <w:r w:rsidRPr="00CD6A66">
        <w:rPr>
          <w:sz w:val="22"/>
          <w:szCs w:val="22"/>
          <w:lang w:val="en-US"/>
        </w:rPr>
        <w:t xml:space="preserve">. The project aims at meeting the demand for telecommunication services in rural areas due to the rapid </w:t>
      </w:r>
      <w:r w:rsidR="00F67C5E" w:rsidRPr="00CD6A66">
        <w:rPr>
          <w:sz w:val="22"/>
          <w:szCs w:val="22"/>
          <w:lang w:val="en-US"/>
        </w:rPr>
        <w:t>deployment of wireless networks: contracts for the supply of equipment of CDMA-450 base stations, contracts for the supply of equipment for CDMA network expansion were concluded during the reporting period; the branches are working on preparing the infrastructure facilities for the installation of base stations.</w:t>
      </w:r>
    </w:p>
    <w:p w:rsidR="002664E4" w:rsidRPr="00CD6A66" w:rsidRDefault="002664E4" w:rsidP="00CD6A66">
      <w:pPr>
        <w:pStyle w:val="a3"/>
        <w:numPr>
          <w:ilvl w:val="0"/>
          <w:numId w:val="39"/>
        </w:numPr>
        <w:tabs>
          <w:tab w:val="left" w:pos="284"/>
        </w:tabs>
        <w:autoSpaceDE w:val="0"/>
        <w:autoSpaceDN w:val="0"/>
        <w:adjustRightInd w:val="0"/>
        <w:ind w:left="-709" w:firstLine="709"/>
        <w:jc w:val="both"/>
        <w:rPr>
          <w:sz w:val="22"/>
          <w:szCs w:val="22"/>
          <w:lang w:val="en-US"/>
        </w:rPr>
      </w:pPr>
      <w:r w:rsidRPr="00CD6A66">
        <w:rPr>
          <w:sz w:val="22"/>
          <w:szCs w:val="22"/>
          <w:lang w:val="en-US"/>
        </w:rPr>
        <w:t xml:space="preserve">“Construction of FTTH </w:t>
      </w:r>
      <w:r w:rsidR="00031D3F" w:rsidRPr="00CD6A66">
        <w:rPr>
          <w:sz w:val="22"/>
          <w:szCs w:val="22"/>
          <w:lang w:val="en-US"/>
        </w:rPr>
        <w:t>networks” (Fiber to the Home)</w:t>
      </w:r>
      <w:r w:rsidRPr="00CD6A66">
        <w:rPr>
          <w:sz w:val="22"/>
          <w:szCs w:val="22"/>
          <w:lang w:val="en-US"/>
        </w:rPr>
        <w:t>. The project aims at increasing competitiveness in the telecommunications market</w:t>
      </w:r>
      <w:r w:rsidR="00F67C5E" w:rsidRPr="00CD6A66">
        <w:rPr>
          <w:sz w:val="22"/>
          <w:szCs w:val="22"/>
          <w:lang w:val="en-US"/>
        </w:rPr>
        <w:t>:</w:t>
      </w:r>
      <w:r w:rsidRPr="00CD6A66">
        <w:rPr>
          <w:sz w:val="22"/>
          <w:szCs w:val="22"/>
          <w:lang w:val="en-US"/>
        </w:rPr>
        <w:t xml:space="preserve"> </w:t>
      </w:r>
      <w:r w:rsidR="00F67C5E" w:rsidRPr="00CD6A66">
        <w:rPr>
          <w:sz w:val="22"/>
          <w:szCs w:val="22"/>
          <w:lang w:val="en-US"/>
        </w:rPr>
        <w:t>for the period contracts to supply the equipment were concluded; optical cables are being supplied to branches; linear structures are under construction in 14 branches, the design, examination and approval of DED is completed</w:t>
      </w:r>
      <w:r w:rsidRPr="00CD6A66">
        <w:rPr>
          <w:sz w:val="22"/>
          <w:szCs w:val="22"/>
          <w:lang w:val="en-US"/>
        </w:rPr>
        <w:t>.</w:t>
      </w:r>
    </w:p>
    <w:p w:rsidR="005F4C82" w:rsidRPr="00CD6A66" w:rsidRDefault="005F4C82" w:rsidP="00CD6A66">
      <w:pPr>
        <w:pStyle w:val="a3"/>
        <w:numPr>
          <w:ilvl w:val="0"/>
          <w:numId w:val="39"/>
        </w:numPr>
        <w:tabs>
          <w:tab w:val="left" w:pos="284"/>
        </w:tabs>
        <w:autoSpaceDE w:val="0"/>
        <w:autoSpaceDN w:val="0"/>
        <w:adjustRightInd w:val="0"/>
        <w:ind w:left="-709" w:firstLine="709"/>
        <w:jc w:val="both"/>
        <w:rPr>
          <w:sz w:val="22"/>
          <w:szCs w:val="22"/>
          <w:lang w:val="en-US"/>
        </w:rPr>
      </w:pPr>
      <w:r w:rsidRPr="00CD6A66">
        <w:rPr>
          <w:sz w:val="22"/>
          <w:szCs w:val="22"/>
          <w:lang w:val="en-US"/>
        </w:rPr>
        <w:t>“Construction of Long Term Evolution network in the cities of Almaty and Astana for mobile data services” The project is implemented in order to introduce mobile broadband services with high quality indicators. During the reporting period the works on infrastructure preparation</w:t>
      </w:r>
      <w:r w:rsidR="00D21DDB" w:rsidRPr="00CD6A66">
        <w:rPr>
          <w:sz w:val="22"/>
          <w:szCs w:val="22"/>
          <w:lang w:val="en-US"/>
        </w:rPr>
        <w:t xml:space="preserve"> are conducted</w:t>
      </w:r>
      <w:r w:rsidRPr="00CD6A66">
        <w:rPr>
          <w:sz w:val="22"/>
          <w:szCs w:val="22"/>
          <w:lang w:val="en-US"/>
        </w:rPr>
        <w:t xml:space="preserve">: preparation of premises for the installation of equipment, </w:t>
      </w:r>
      <w:r w:rsidR="00D21DDB" w:rsidRPr="00CD6A66">
        <w:rPr>
          <w:sz w:val="22"/>
          <w:szCs w:val="22"/>
          <w:lang w:val="en-US"/>
        </w:rPr>
        <w:t xml:space="preserve">rent of premises </w:t>
      </w:r>
      <w:r w:rsidRPr="00CD6A66">
        <w:rPr>
          <w:sz w:val="22"/>
          <w:szCs w:val="22"/>
          <w:lang w:val="en-US"/>
        </w:rPr>
        <w:t xml:space="preserve">and </w:t>
      </w:r>
      <w:r w:rsidR="00D21DDB" w:rsidRPr="00CD6A66">
        <w:rPr>
          <w:sz w:val="22"/>
          <w:szCs w:val="22"/>
          <w:lang w:val="en-US"/>
        </w:rPr>
        <w:t>preparation of base station installation sites</w:t>
      </w:r>
      <w:r w:rsidRPr="00CD6A66">
        <w:rPr>
          <w:sz w:val="22"/>
          <w:szCs w:val="22"/>
          <w:lang w:val="en-US"/>
        </w:rPr>
        <w:t>.</w:t>
      </w:r>
    </w:p>
    <w:p w:rsidR="002664E4" w:rsidRPr="00CD6A66" w:rsidRDefault="002664E4" w:rsidP="00CD6A66">
      <w:pPr>
        <w:pStyle w:val="a3"/>
        <w:numPr>
          <w:ilvl w:val="0"/>
          <w:numId w:val="39"/>
        </w:numPr>
        <w:tabs>
          <w:tab w:val="left" w:pos="284"/>
        </w:tabs>
        <w:autoSpaceDE w:val="0"/>
        <w:autoSpaceDN w:val="0"/>
        <w:adjustRightInd w:val="0"/>
        <w:ind w:left="-709" w:firstLine="709"/>
        <w:jc w:val="both"/>
        <w:rPr>
          <w:sz w:val="22"/>
          <w:szCs w:val="22"/>
          <w:lang w:val="en-US"/>
        </w:rPr>
      </w:pPr>
      <w:r w:rsidRPr="00CD6A66">
        <w:rPr>
          <w:sz w:val="22"/>
          <w:szCs w:val="22"/>
          <w:lang w:val="en-US"/>
        </w:rPr>
        <w:t>“Introduction and development of IP TV services in the Republic of Kazakhstan</w:t>
      </w:r>
      <w:r w:rsidR="00031D3F" w:rsidRPr="00CD6A66">
        <w:rPr>
          <w:sz w:val="22"/>
          <w:szCs w:val="22"/>
          <w:lang w:val="en-US"/>
        </w:rPr>
        <w:t>”</w:t>
      </w:r>
      <w:r w:rsidRPr="00CD6A66">
        <w:rPr>
          <w:sz w:val="22"/>
          <w:szCs w:val="22"/>
          <w:lang w:val="en-US"/>
        </w:rPr>
        <w:t>. The project aims to introduce fee television services and offer package communication solutions</w:t>
      </w:r>
      <w:r w:rsidR="00D21DDB" w:rsidRPr="00CD6A66">
        <w:rPr>
          <w:sz w:val="22"/>
          <w:szCs w:val="22"/>
          <w:lang w:val="en-US"/>
        </w:rPr>
        <w:t>: STB equipment to connect clients was delivered during the reporting period.</w:t>
      </w:r>
    </w:p>
    <w:p w:rsidR="002664E4" w:rsidRPr="00CD6A66" w:rsidRDefault="002664E4" w:rsidP="00CD6A66">
      <w:pPr>
        <w:pStyle w:val="a3"/>
        <w:numPr>
          <w:ilvl w:val="0"/>
          <w:numId w:val="39"/>
        </w:numPr>
        <w:tabs>
          <w:tab w:val="left" w:pos="284"/>
        </w:tabs>
        <w:autoSpaceDE w:val="0"/>
        <w:autoSpaceDN w:val="0"/>
        <w:adjustRightInd w:val="0"/>
        <w:ind w:left="-709" w:firstLine="709"/>
        <w:jc w:val="both"/>
        <w:rPr>
          <w:sz w:val="22"/>
          <w:szCs w:val="22"/>
          <w:lang w:val="en-US"/>
        </w:rPr>
      </w:pPr>
      <w:r w:rsidRPr="00CD6A66">
        <w:rPr>
          <w:sz w:val="22"/>
          <w:szCs w:val="22"/>
          <w:lang w:val="en-US"/>
        </w:rPr>
        <w:lastRenderedPageBreak/>
        <w:t>“Cellular communications of CDMA 2000 1X</w:t>
      </w:r>
      <w:r w:rsidR="00031D3F" w:rsidRPr="00CD6A66">
        <w:rPr>
          <w:sz w:val="22"/>
          <w:szCs w:val="22"/>
          <w:lang w:val="en-US"/>
        </w:rPr>
        <w:t xml:space="preserve"> standard”</w:t>
      </w:r>
      <w:r w:rsidRPr="00CD6A66">
        <w:rPr>
          <w:sz w:val="22"/>
          <w:szCs w:val="22"/>
          <w:lang w:val="en-US"/>
        </w:rPr>
        <w:t>. The project aims at increasing the capacity of cellular networks and local networks to ensure the projected growth in subscriber base and traffic, as well as expansion of existing coverage in the regions, ensuring adequate quality of service.</w:t>
      </w:r>
      <w:r w:rsidR="00D21DDB" w:rsidRPr="00CD6A66">
        <w:rPr>
          <w:sz w:val="22"/>
          <w:szCs w:val="22"/>
          <w:lang w:val="en-US"/>
        </w:rPr>
        <w:t xml:space="preserve"> During the reporting period, the inverter system was purchased and installed, telecommunications hardware, software and licenses were delivered.</w:t>
      </w:r>
    </w:p>
    <w:p w:rsidR="002664E4" w:rsidRPr="00CD6A66" w:rsidRDefault="002664E4" w:rsidP="00CD6A66">
      <w:pPr>
        <w:pStyle w:val="a3"/>
        <w:numPr>
          <w:ilvl w:val="0"/>
          <w:numId w:val="39"/>
        </w:numPr>
        <w:tabs>
          <w:tab w:val="left" w:pos="284"/>
          <w:tab w:val="left" w:pos="993"/>
        </w:tabs>
        <w:autoSpaceDE w:val="0"/>
        <w:autoSpaceDN w:val="0"/>
        <w:adjustRightInd w:val="0"/>
        <w:ind w:left="-709" w:firstLine="709"/>
        <w:jc w:val="both"/>
        <w:rPr>
          <w:sz w:val="22"/>
          <w:szCs w:val="22"/>
          <w:lang w:val="en-US"/>
        </w:rPr>
      </w:pPr>
      <w:r w:rsidRPr="00CD6A66">
        <w:rPr>
          <w:sz w:val="22"/>
          <w:szCs w:val="22"/>
          <w:lang w:val="en-US"/>
        </w:rPr>
        <w:t>“Modernization of lo</w:t>
      </w:r>
      <w:r w:rsidR="00031D3F" w:rsidRPr="00CD6A66">
        <w:rPr>
          <w:sz w:val="22"/>
          <w:szCs w:val="22"/>
          <w:lang w:val="en-US"/>
        </w:rPr>
        <w:t>cal telecommunication networks”</w:t>
      </w:r>
      <w:r w:rsidRPr="00CD6A66">
        <w:rPr>
          <w:sz w:val="22"/>
          <w:szCs w:val="22"/>
          <w:lang w:val="en-US"/>
        </w:rPr>
        <w:t xml:space="preserve">. The project aims to increase revenue by meeting the existing and potential demand for telecommunication services by increasing the number of users of the data transportation network in the Republic of Kazakhstan. </w:t>
      </w:r>
      <w:r w:rsidR="00D21DDB" w:rsidRPr="00CD6A66">
        <w:rPr>
          <w:sz w:val="22"/>
          <w:szCs w:val="22"/>
          <w:lang w:val="en-US"/>
        </w:rPr>
        <w:t xml:space="preserve">During the reporting period: </w:t>
      </w:r>
      <w:r w:rsidR="007851BF" w:rsidRPr="00CD6A66">
        <w:rPr>
          <w:sz w:val="22"/>
          <w:szCs w:val="22"/>
          <w:lang w:val="en-US"/>
        </w:rPr>
        <w:t xml:space="preserve">works on the construction of zonal fiber-optic communication lines (fiber optic) are being implemented </w:t>
      </w:r>
      <w:r w:rsidR="00D21DDB" w:rsidRPr="00CD6A66">
        <w:rPr>
          <w:sz w:val="22"/>
          <w:szCs w:val="22"/>
          <w:lang w:val="en-US"/>
        </w:rPr>
        <w:t xml:space="preserve">in East Kazakhstan, </w:t>
      </w:r>
      <w:proofErr w:type="spellStart"/>
      <w:r w:rsidR="00D21DDB" w:rsidRPr="00CD6A66">
        <w:rPr>
          <w:sz w:val="22"/>
          <w:szCs w:val="22"/>
          <w:lang w:val="en-US"/>
        </w:rPr>
        <w:t>Mangistau</w:t>
      </w:r>
      <w:proofErr w:type="spellEnd"/>
      <w:r w:rsidR="00D21DDB" w:rsidRPr="00CD6A66">
        <w:rPr>
          <w:sz w:val="22"/>
          <w:szCs w:val="22"/>
          <w:lang w:val="en-US"/>
        </w:rPr>
        <w:t xml:space="preserve">, North Kazakhstan </w:t>
      </w:r>
      <w:r w:rsidR="007851BF" w:rsidRPr="00CD6A66">
        <w:rPr>
          <w:sz w:val="22"/>
          <w:szCs w:val="22"/>
          <w:lang w:val="en-US"/>
        </w:rPr>
        <w:t>regions;</w:t>
      </w:r>
      <w:r w:rsidR="00D21DDB" w:rsidRPr="00CD6A66">
        <w:rPr>
          <w:sz w:val="22"/>
          <w:szCs w:val="22"/>
          <w:lang w:val="en-US"/>
        </w:rPr>
        <w:t xml:space="preserve"> </w:t>
      </w:r>
      <w:r w:rsidR="007851BF" w:rsidRPr="00CD6A66">
        <w:rPr>
          <w:sz w:val="22"/>
          <w:szCs w:val="22"/>
          <w:lang w:val="en-US"/>
        </w:rPr>
        <w:t xml:space="preserve">the construction of 25 km fiber optic </w:t>
      </w:r>
      <w:r w:rsidR="002E2257" w:rsidRPr="00CD6A66">
        <w:rPr>
          <w:sz w:val="22"/>
          <w:szCs w:val="22"/>
          <w:lang w:val="en-US"/>
        </w:rPr>
        <w:t>lines</w:t>
      </w:r>
      <w:r w:rsidR="007851BF" w:rsidRPr="00CD6A66">
        <w:rPr>
          <w:sz w:val="22"/>
          <w:szCs w:val="22"/>
          <w:lang w:val="en-US"/>
        </w:rPr>
        <w:t xml:space="preserve"> has been completed </w:t>
      </w:r>
      <w:r w:rsidR="00D21DDB" w:rsidRPr="00CD6A66">
        <w:rPr>
          <w:sz w:val="22"/>
          <w:szCs w:val="22"/>
          <w:lang w:val="en-US"/>
        </w:rPr>
        <w:t xml:space="preserve">in </w:t>
      </w:r>
      <w:proofErr w:type="spellStart"/>
      <w:r w:rsidR="00D21DDB" w:rsidRPr="00CD6A66">
        <w:rPr>
          <w:sz w:val="22"/>
          <w:szCs w:val="22"/>
          <w:lang w:val="en-US"/>
        </w:rPr>
        <w:t>Kostanai</w:t>
      </w:r>
      <w:proofErr w:type="spellEnd"/>
      <w:r w:rsidR="00D21DDB" w:rsidRPr="00CD6A66">
        <w:rPr>
          <w:sz w:val="22"/>
          <w:szCs w:val="22"/>
          <w:lang w:val="en-US"/>
        </w:rPr>
        <w:t xml:space="preserve"> region,</w:t>
      </w:r>
      <w:r w:rsidR="007851BF" w:rsidRPr="00CD6A66">
        <w:rPr>
          <w:sz w:val="22"/>
          <w:szCs w:val="22"/>
          <w:lang w:val="en-US"/>
        </w:rPr>
        <w:t xml:space="preserve"> the</w:t>
      </w:r>
      <w:r w:rsidR="00D21DDB" w:rsidRPr="00CD6A66">
        <w:rPr>
          <w:sz w:val="22"/>
          <w:szCs w:val="22"/>
          <w:lang w:val="en-US"/>
        </w:rPr>
        <w:t xml:space="preserve"> </w:t>
      </w:r>
      <w:r w:rsidR="007851BF" w:rsidRPr="00CD6A66">
        <w:rPr>
          <w:sz w:val="22"/>
          <w:szCs w:val="22"/>
          <w:lang w:val="en-US"/>
        </w:rPr>
        <w:t xml:space="preserve">preparatory works are conducted </w:t>
      </w:r>
      <w:r w:rsidR="00D21DDB" w:rsidRPr="00CD6A66">
        <w:rPr>
          <w:sz w:val="22"/>
          <w:szCs w:val="22"/>
          <w:lang w:val="en-US"/>
        </w:rPr>
        <w:t xml:space="preserve">in </w:t>
      </w:r>
      <w:proofErr w:type="spellStart"/>
      <w:r w:rsidR="00D21DDB" w:rsidRPr="00CD6A66">
        <w:rPr>
          <w:sz w:val="22"/>
          <w:szCs w:val="22"/>
          <w:lang w:val="en-US"/>
        </w:rPr>
        <w:t>Akmola</w:t>
      </w:r>
      <w:proofErr w:type="spellEnd"/>
      <w:r w:rsidR="00D21DDB" w:rsidRPr="00CD6A66">
        <w:rPr>
          <w:sz w:val="22"/>
          <w:szCs w:val="22"/>
          <w:lang w:val="en-US"/>
        </w:rPr>
        <w:t xml:space="preserve">, </w:t>
      </w:r>
      <w:proofErr w:type="spellStart"/>
      <w:r w:rsidR="00D21DDB" w:rsidRPr="00CD6A66">
        <w:rPr>
          <w:sz w:val="22"/>
          <w:szCs w:val="22"/>
          <w:lang w:val="en-US"/>
        </w:rPr>
        <w:t>Aktobe</w:t>
      </w:r>
      <w:proofErr w:type="spellEnd"/>
      <w:r w:rsidR="00D21DDB" w:rsidRPr="00CD6A66">
        <w:rPr>
          <w:sz w:val="22"/>
          <w:szCs w:val="22"/>
          <w:lang w:val="en-US"/>
        </w:rPr>
        <w:t xml:space="preserve">, Karaganda, </w:t>
      </w:r>
      <w:proofErr w:type="spellStart"/>
      <w:r w:rsidR="00D21DDB" w:rsidRPr="00CD6A66">
        <w:rPr>
          <w:sz w:val="22"/>
          <w:szCs w:val="22"/>
          <w:lang w:val="en-US"/>
        </w:rPr>
        <w:t>Kostanai</w:t>
      </w:r>
      <w:proofErr w:type="spellEnd"/>
      <w:r w:rsidR="00D21DDB" w:rsidRPr="00CD6A66">
        <w:rPr>
          <w:sz w:val="22"/>
          <w:szCs w:val="22"/>
          <w:lang w:val="en-US"/>
        </w:rPr>
        <w:t>, Pavlodar</w:t>
      </w:r>
      <w:r w:rsidR="007851BF" w:rsidRPr="00CD6A66">
        <w:rPr>
          <w:sz w:val="22"/>
          <w:szCs w:val="22"/>
          <w:lang w:val="en-US"/>
        </w:rPr>
        <w:t xml:space="preserve"> regions</w:t>
      </w:r>
      <w:r w:rsidR="00D21DDB" w:rsidRPr="00CD6A66">
        <w:rPr>
          <w:sz w:val="22"/>
          <w:szCs w:val="22"/>
          <w:lang w:val="en-US"/>
        </w:rPr>
        <w:t>.</w:t>
      </w:r>
    </w:p>
    <w:p w:rsidR="002664E4" w:rsidRPr="00334790" w:rsidRDefault="002664E4" w:rsidP="002664E4">
      <w:pPr>
        <w:tabs>
          <w:tab w:val="left" w:pos="426"/>
          <w:tab w:val="left" w:pos="993"/>
        </w:tabs>
        <w:autoSpaceDE w:val="0"/>
        <w:autoSpaceDN w:val="0"/>
        <w:adjustRightInd w:val="0"/>
        <w:ind w:left="-709" w:firstLine="709"/>
        <w:jc w:val="both"/>
        <w:rPr>
          <w:rFonts w:ascii="Arial" w:hAnsi="Arial" w:cs="Arial"/>
          <w:b/>
          <w:lang w:val="en-US"/>
        </w:rPr>
      </w:pPr>
    </w:p>
    <w:p w:rsidR="00CF5769" w:rsidRDefault="00CF5769" w:rsidP="002664E4">
      <w:pPr>
        <w:tabs>
          <w:tab w:val="left" w:pos="426"/>
          <w:tab w:val="left" w:pos="993"/>
        </w:tabs>
        <w:autoSpaceDE w:val="0"/>
        <w:autoSpaceDN w:val="0"/>
        <w:adjustRightInd w:val="0"/>
        <w:ind w:left="-709" w:firstLine="709"/>
        <w:jc w:val="both"/>
        <w:rPr>
          <w:rFonts w:ascii="Arial" w:hAnsi="Arial" w:cs="Arial"/>
          <w:b/>
        </w:rPr>
      </w:pPr>
    </w:p>
    <w:p w:rsidR="00353DB4" w:rsidRDefault="00353DB4" w:rsidP="002664E4">
      <w:pPr>
        <w:tabs>
          <w:tab w:val="left" w:pos="426"/>
          <w:tab w:val="left" w:pos="993"/>
        </w:tabs>
        <w:autoSpaceDE w:val="0"/>
        <w:autoSpaceDN w:val="0"/>
        <w:adjustRightInd w:val="0"/>
        <w:ind w:left="-709" w:firstLine="709"/>
        <w:jc w:val="both"/>
        <w:rPr>
          <w:rFonts w:ascii="Arial" w:hAnsi="Arial" w:cs="Arial"/>
          <w:b/>
        </w:rPr>
      </w:pPr>
    </w:p>
    <w:p w:rsidR="00353DB4" w:rsidRPr="00353DB4" w:rsidRDefault="00353DB4" w:rsidP="002664E4">
      <w:pPr>
        <w:tabs>
          <w:tab w:val="left" w:pos="426"/>
          <w:tab w:val="left" w:pos="993"/>
        </w:tabs>
        <w:autoSpaceDE w:val="0"/>
        <w:autoSpaceDN w:val="0"/>
        <w:adjustRightInd w:val="0"/>
        <w:ind w:left="-709" w:firstLine="709"/>
        <w:jc w:val="both"/>
        <w:rPr>
          <w:rFonts w:ascii="Arial" w:hAnsi="Arial" w:cs="Arial"/>
          <w:b/>
        </w:rPr>
      </w:pPr>
    </w:p>
    <w:p w:rsidR="00CD6A66" w:rsidRDefault="00CD6A66" w:rsidP="002664E4">
      <w:pPr>
        <w:tabs>
          <w:tab w:val="left" w:pos="426"/>
          <w:tab w:val="left" w:pos="993"/>
        </w:tabs>
        <w:autoSpaceDE w:val="0"/>
        <w:autoSpaceDN w:val="0"/>
        <w:adjustRightInd w:val="0"/>
        <w:ind w:left="-709" w:firstLine="709"/>
        <w:jc w:val="both"/>
        <w:rPr>
          <w:rFonts w:ascii="Arial" w:hAnsi="Arial" w:cs="Arial"/>
          <w:b/>
          <w:lang w:val="en-US"/>
        </w:rPr>
      </w:pPr>
    </w:p>
    <w:p w:rsidR="00584768" w:rsidRPr="00C20F55" w:rsidRDefault="00584768" w:rsidP="002664E4">
      <w:pPr>
        <w:tabs>
          <w:tab w:val="left" w:pos="426"/>
          <w:tab w:val="left" w:pos="993"/>
        </w:tabs>
        <w:autoSpaceDE w:val="0"/>
        <w:autoSpaceDN w:val="0"/>
        <w:adjustRightInd w:val="0"/>
        <w:ind w:left="-709" w:firstLine="709"/>
        <w:jc w:val="both"/>
        <w:rPr>
          <w:rFonts w:ascii="Arial" w:hAnsi="Arial" w:cs="Arial"/>
          <w:b/>
          <w:lang w:val="en-US"/>
        </w:rPr>
      </w:pPr>
    </w:p>
    <w:p w:rsidR="002664E4" w:rsidRPr="0030777C" w:rsidRDefault="002664E4" w:rsidP="002664E4">
      <w:pPr>
        <w:tabs>
          <w:tab w:val="left" w:pos="426"/>
          <w:tab w:val="left" w:pos="993"/>
        </w:tabs>
        <w:autoSpaceDE w:val="0"/>
        <w:autoSpaceDN w:val="0"/>
        <w:adjustRightInd w:val="0"/>
        <w:ind w:left="-709" w:firstLine="709"/>
        <w:jc w:val="both"/>
        <w:rPr>
          <w:b/>
          <w:sz w:val="22"/>
          <w:szCs w:val="22"/>
          <w:lang w:val="en-US"/>
        </w:rPr>
      </w:pPr>
      <w:r>
        <w:rPr>
          <w:b/>
          <w:sz w:val="22"/>
          <w:szCs w:val="22"/>
          <w:lang w:val="en-US"/>
        </w:rPr>
        <w:t xml:space="preserve">3.6 “Financial and </w:t>
      </w:r>
      <w:r w:rsidR="00745AD7">
        <w:rPr>
          <w:b/>
          <w:sz w:val="22"/>
          <w:szCs w:val="22"/>
          <w:lang w:val="en-US"/>
        </w:rPr>
        <w:t>Development Institutes</w:t>
      </w:r>
      <w:r>
        <w:rPr>
          <w:b/>
          <w:sz w:val="22"/>
          <w:szCs w:val="22"/>
          <w:lang w:val="en-US"/>
        </w:rPr>
        <w:t xml:space="preserve">” segment </w:t>
      </w:r>
    </w:p>
    <w:p w:rsidR="002664E4" w:rsidRDefault="002664E4" w:rsidP="002664E4">
      <w:pPr>
        <w:tabs>
          <w:tab w:val="left" w:pos="426"/>
          <w:tab w:val="left" w:pos="993"/>
        </w:tabs>
        <w:autoSpaceDE w:val="0"/>
        <w:autoSpaceDN w:val="0"/>
        <w:adjustRightInd w:val="0"/>
        <w:ind w:left="-709" w:firstLine="709"/>
        <w:jc w:val="both"/>
        <w:rPr>
          <w:b/>
          <w:sz w:val="22"/>
          <w:szCs w:val="22"/>
          <w:lang w:val="en-US"/>
        </w:rPr>
      </w:pPr>
    </w:p>
    <w:p w:rsidR="002664E4" w:rsidRDefault="002664E4" w:rsidP="002664E4">
      <w:pPr>
        <w:tabs>
          <w:tab w:val="left" w:pos="426"/>
          <w:tab w:val="left" w:pos="993"/>
        </w:tabs>
        <w:autoSpaceDE w:val="0"/>
        <w:autoSpaceDN w:val="0"/>
        <w:adjustRightInd w:val="0"/>
        <w:ind w:left="-709" w:firstLine="709"/>
        <w:jc w:val="both"/>
        <w:rPr>
          <w:b/>
          <w:sz w:val="22"/>
          <w:szCs w:val="22"/>
          <w:lang w:val="en-US"/>
        </w:rPr>
      </w:pPr>
      <w:r>
        <w:rPr>
          <w:b/>
          <w:sz w:val="22"/>
          <w:szCs w:val="22"/>
          <w:lang w:val="en-US"/>
        </w:rPr>
        <w:t>Performance indicators</w:t>
      </w:r>
    </w:p>
    <w:p w:rsidR="00160731" w:rsidRDefault="00160731" w:rsidP="002664E4">
      <w:pPr>
        <w:tabs>
          <w:tab w:val="left" w:pos="426"/>
          <w:tab w:val="left" w:pos="993"/>
        </w:tabs>
        <w:autoSpaceDE w:val="0"/>
        <w:autoSpaceDN w:val="0"/>
        <w:adjustRightInd w:val="0"/>
        <w:ind w:left="-709" w:firstLine="709"/>
        <w:jc w:val="both"/>
        <w:rPr>
          <w:b/>
          <w:sz w:val="22"/>
          <w:szCs w:val="22"/>
          <w:lang w:val="en-US"/>
        </w:rPr>
      </w:pPr>
    </w:p>
    <w:p w:rsidR="00160731" w:rsidRDefault="00160731" w:rsidP="00160731">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CD6A66" w:rsidRPr="00FD3A9E" w:rsidRDefault="00CD6A66" w:rsidP="00160731">
      <w:pPr>
        <w:tabs>
          <w:tab w:val="left" w:pos="426"/>
        </w:tabs>
        <w:ind w:left="-709" w:firstLine="709"/>
        <w:jc w:val="both"/>
        <w:rPr>
          <w:rStyle w:val="apple-style-span"/>
          <w:b/>
          <w:color w:val="FF0000"/>
          <w:sz w:val="22"/>
          <w:szCs w:val="22"/>
          <w:shd w:val="clear" w:color="auto" w:fill="FFFFFF"/>
          <w:lang w:val="en-US"/>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992"/>
        <w:gridCol w:w="850"/>
        <w:gridCol w:w="993"/>
        <w:gridCol w:w="3260"/>
      </w:tblGrid>
      <w:tr w:rsidR="00160731" w:rsidRPr="00FB7A56" w:rsidTr="00CF5769">
        <w:trPr>
          <w:trHeight w:val="510"/>
          <w:tblHeader/>
        </w:trPr>
        <w:tc>
          <w:tcPr>
            <w:tcW w:w="2977" w:type="dxa"/>
            <w:shd w:val="clear" w:color="auto" w:fill="auto"/>
            <w:vAlign w:val="center"/>
            <w:hideMark/>
          </w:tcPr>
          <w:p w:rsidR="00160731" w:rsidRPr="0030777C" w:rsidRDefault="00160731" w:rsidP="00770BC8">
            <w:pPr>
              <w:jc w:val="center"/>
              <w:rPr>
                <w:b/>
                <w:sz w:val="16"/>
                <w:szCs w:val="16"/>
                <w:lang w:val="en-US"/>
              </w:rPr>
            </w:pPr>
            <w:r>
              <w:rPr>
                <w:b/>
                <w:sz w:val="16"/>
                <w:szCs w:val="16"/>
                <w:lang w:val="en-US"/>
              </w:rPr>
              <w:t>Description</w:t>
            </w:r>
          </w:p>
        </w:tc>
        <w:tc>
          <w:tcPr>
            <w:tcW w:w="851" w:type="dxa"/>
            <w:shd w:val="clear" w:color="auto" w:fill="auto"/>
            <w:vAlign w:val="center"/>
            <w:hideMark/>
          </w:tcPr>
          <w:p w:rsidR="00160731" w:rsidRPr="0030777C" w:rsidRDefault="00160731" w:rsidP="00770BC8">
            <w:pPr>
              <w:jc w:val="center"/>
              <w:rPr>
                <w:b/>
                <w:bCs/>
                <w:sz w:val="16"/>
                <w:szCs w:val="16"/>
                <w:lang w:val="en-US"/>
              </w:rPr>
            </w:pPr>
            <w:proofErr w:type="spellStart"/>
            <w:r>
              <w:rPr>
                <w:b/>
                <w:bCs/>
                <w:sz w:val="16"/>
                <w:szCs w:val="16"/>
                <w:lang w:val="en-US"/>
              </w:rPr>
              <w:t>UoM</w:t>
            </w:r>
            <w:proofErr w:type="spellEnd"/>
          </w:p>
        </w:tc>
        <w:tc>
          <w:tcPr>
            <w:tcW w:w="992" w:type="dxa"/>
            <w:shd w:val="clear" w:color="auto" w:fill="auto"/>
            <w:noWrap/>
            <w:vAlign w:val="center"/>
            <w:hideMark/>
          </w:tcPr>
          <w:p w:rsidR="00160731" w:rsidRPr="00AE14C1" w:rsidRDefault="00160731" w:rsidP="00AF47B9">
            <w:pPr>
              <w:jc w:val="center"/>
              <w:rPr>
                <w:b/>
                <w:bCs/>
                <w:sz w:val="18"/>
                <w:szCs w:val="18"/>
                <w:lang w:val="en-US"/>
              </w:rPr>
            </w:pPr>
            <w:r>
              <w:rPr>
                <w:b/>
                <w:bCs/>
                <w:sz w:val="18"/>
                <w:szCs w:val="18"/>
                <w:lang w:val="en-US" w:eastAsia="en-US"/>
              </w:rPr>
              <w:t>H</w:t>
            </w:r>
            <w:r>
              <w:rPr>
                <w:b/>
                <w:bCs/>
                <w:sz w:val="18"/>
                <w:szCs w:val="18"/>
                <w:lang w:eastAsia="en-US"/>
              </w:rPr>
              <w:t>1 2012</w:t>
            </w:r>
            <w:r w:rsidRPr="00AE14C1">
              <w:rPr>
                <w:b/>
                <w:bCs/>
                <w:sz w:val="18"/>
                <w:szCs w:val="18"/>
                <w:lang w:val="en-US" w:eastAsia="en-US"/>
              </w:rPr>
              <w:t xml:space="preserve"> </w:t>
            </w:r>
          </w:p>
        </w:tc>
        <w:tc>
          <w:tcPr>
            <w:tcW w:w="850" w:type="dxa"/>
            <w:shd w:val="clear" w:color="auto" w:fill="auto"/>
            <w:noWrap/>
            <w:vAlign w:val="center"/>
            <w:hideMark/>
          </w:tcPr>
          <w:p w:rsidR="00160731" w:rsidRPr="00AE14C1" w:rsidRDefault="00160731" w:rsidP="00AF47B9">
            <w:pPr>
              <w:jc w:val="center"/>
              <w:rPr>
                <w:b/>
                <w:bCs/>
                <w:sz w:val="18"/>
                <w:szCs w:val="18"/>
                <w:lang w:val="en-US"/>
              </w:rPr>
            </w:pPr>
            <w:r>
              <w:rPr>
                <w:b/>
                <w:bCs/>
                <w:sz w:val="18"/>
                <w:szCs w:val="18"/>
                <w:lang w:val="en-US" w:eastAsia="en-US"/>
              </w:rPr>
              <w:t>H1 2011</w:t>
            </w:r>
            <w:r w:rsidRPr="00AE14C1">
              <w:rPr>
                <w:b/>
                <w:bCs/>
                <w:sz w:val="18"/>
                <w:szCs w:val="18"/>
                <w:lang w:val="en-US" w:eastAsia="en-US"/>
              </w:rPr>
              <w:t xml:space="preserve"> </w:t>
            </w:r>
          </w:p>
        </w:tc>
        <w:tc>
          <w:tcPr>
            <w:tcW w:w="993" w:type="dxa"/>
            <w:vAlign w:val="center"/>
          </w:tcPr>
          <w:p w:rsidR="00160731" w:rsidRPr="000F2EFA" w:rsidRDefault="00160731" w:rsidP="00AF47B9">
            <w:pPr>
              <w:jc w:val="center"/>
              <w:rPr>
                <w:b/>
                <w:bCs/>
                <w:sz w:val="18"/>
                <w:szCs w:val="18"/>
                <w:lang w:val="en-US"/>
              </w:rPr>
            </w:pPr>
            <w:r>
              <w:rPr>
                <w:b/>
                <w:bCs/>
                <w:sz w:val="18"/>
                <w:szCs w:val="18"/>
                <w:lang w:val="en-US"/>
              </w:rPr>
              <w:t>H1 2012</w:t>
            </w:r>
            <w:r w:rsidRPr="000F2EFA">
              <w:rPr>
                <w:b/>
                <w:bCs/>
                <w:sz w:val="18"/>
                <w:szCs w:val="18"/>
                <w:lang w:val="en-US"/>
              </w:rPr>
              <w:t>/</w:t>
            </w:r>
            <w:r>
              <w:rPr>
                <w:b/>
                <w:bCs/>
                <w:sz w:val="18"/>
                <w:szCs w:val="18"/>
                <w:lang w:val="en-US"/>
              </w:rPr>
              <w:t>H1 2011</w:t>
            </w:r>
            <w:r w:rsidRPr="000F2EFA">
              <w:rPr>
                <w:b/>
                <w:bCs/>
                <w:sz w:val="18"/>
                <w:szCs w:val="18"/>
                <w:lang w:val="en-US"/>
              </w:rPr>
              <w:t xml:space="preserve">, </w:t>
            </w:r>
          </w:p>
          <w:p w:rsidR="00160731" w:rsidRPr="00AE14C1" w:rsidRDefault="00160731" w:rsidP="00AF47B9">
            <w:pPr>
              <w:jc w:val="center"/>
              <w:rPr>
                <w:b/>
                <w:bCs/>
                <w:sz w:val="18"/>
                <w:szCs w:val="18"/>
                <w:lang w:val="en-US"/>
              </w:rPr>
            </w:pPr>
            <w:r>
              <w:rPr>
                <w:b/>
                <w:bCs/>
                <w:sz w:val="18"/>
                <w:szCs w:val="18"/>
                <w:lang w:val="en-US" w:eastAsia="en-US"/>
              </w:rPr>
              <w:t>in</w:t>
            </w:r>
            <w:r w:rsidRPr="00AE14C1">
              <w:rPr>
                <w:b/>
                <w:bCs/>
                <w:sz w:val="18"/>
                <w:szCs w:val="18"/>
                <w:lang w:val="en-US" w:eastAsia="en-US"/>
              </w:rPr>
              <w:t xml:space="preserve"> %</w:t>
            </w:r>
          </w:p>
        </w:tc>
        <w:tc>
          <w:tcPr>
            <w:tcW w:w="3260" w:type="dxa"/>
            <w:vAlign w:val="center"/>
          </w:tcPr>
          <w:p w:rsidR="00160731" w:rsidRPr="0030777C" w:rsidRDefault="00160731" w:rsidP="00770BC8">
            <w:pPr>
              <w:jc w:val="center"/>
              <w:rPr>
                <w:b/>
                <w:sz w:val="16"/>
                <w:szCs w:val="16"/>
                <w:lang w:val="en-US"/>
              </w:rPr>
            </w:pPr>
            <w:r>
              <w:rPr>
                <w:b/>
                <w:sz w:val="16"/>
                <w:szCs w:val="16"/>
                <w:lang w:val="en-US"/>
              </w:rPr>
              <w:t>Factors</w:t>
            </w:r>
          </w:p>
        </w:tc>
      </w:tr>
      <w:tr w:rsidR="00FB3CA1" w:rsidRPr="002A0E0D" w:rsidTr="00CF5769">
        <w:trPr>
          <w:trHeight w:val="345"/>
        </w:trPr>
        <w:tc>
          <w:tcPr>
            <w:tcW w:w="2977" w:type="dxa"/>
            <w:shd w:val="clear" w:color="auto" w:fill="auto"/>
            <w:hideMark/>
          </w:tcPr>
          <w:p w:rsidR="00FB3CA1" w:rsidRPr="00933336" w:rsidRDefault="00FB3CA1" w:rsidP="00770BC8">
            <w:pPr>
              <w:rPr>
                <w:sz w:val="16"/>
                <w:szCs w:val="16"/>
                <w:lang w:val="en-US"/>
              </w:rPr>
            </w:pPr>
            <w:r>
              <w:rPr>
                <w:sz w:val="16"/>
                <w:szCs w:val="16"/>
                <w:lang w:val="en-US"/>
              </w:rPr>
              <w:t>V</w:t>
            </w:r>
            <w:r w:rsidRPr="00933336">
              <w:rPr>
                <w:sz w:val="16"/>
                <w:szCs w:val="16"/>
                <w:lang w:val="en-US"/>
              </w:rPr>
              <w:t xml:space="preserve">olume of the loan portfolio, billion </w:t>
            </w:r>
            <w:r>
              <w:rPr>
                <w:sz w:val="16"/>
                <w:szCs w:val="16"/>
                <w:lang w:val="en-US"/>
              </w:rPr>
              <w:t>KZT</w:t>
            </w:r>
          </w:p>
        </w:tc>
        <w:tc>
          <w:tcPr>
            <w:tcW w:w="851" w:type="dxa"/>
            <w:shd w:val="clear" w:color="auto" w:fill="auto"/>
            <w:vAlign w:val="center"/>
            <w:hideMark/>
          </w:tcPr>
          <w:p w:rsidR="00FB3CA1" w:rsidRPr="00790474" w:rsidRDefault="00FB3CA1" w:rsidP="008E09EC">
            <w:pPr>
              <w:rPr>
                <w:sz w:val="16"/>
                <w:szCs w:val="16"/>
                <w:lang w:val="en-US"/>
              </w:rPr>
            </w:pPr>
            <w:r>
              <w:rPr>
                <w:sz w:val="16"/>
                <w:szCs w:val="16"/>
                <w:lang w:val="en-US"/>
              </w:rPr>
              <w:t>Billion KZT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414,6</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399,0</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103,9</w:t>
            </w:r>
          </w:p>
        </w:tc>
        <w:tc>
          <w:tcPr>
            <w:tcW w:w="3260" w:type="dxa"/>
          </w:tcPr>
          <w:p w:rsidR="00FB3CA1" w:rsidRPr="00942511" w:rsidRDefault="00FB3CA1" w:rsidP="00770BC8">
            <w:pPr>
              <w:rPr>
                <w:sz w:val="16"/>
                <w:szCs w:val="16"/>
                <w:lang w:val="en-US"/>
              </w:rPr>
            </w:pPr>
          </w:p>
        </w:tc>
      </w:tr>
      <w:tr w:rsidR="00FB3CA1" w:rsidRPr="00353DB4" w:rsidTr="00CF5769">
        <w:trPr>
          <w:trHeight w:val="318"/>
        </w:trPr>
        <w:tc>
          <w:tcPr>
            <w:tcW w:w="2977" w:type="dxa"/>
            <w:shd w:val="clear" w:color="auto" w:fill="auto"/>
            <w:hideMark/>
          </w:tcPr>
          <w:p w:rsidR="00FB3CA1" w:rsidRPr="00933336" w:rsidRDefault="00FB3CA1" w:rsidP="00770BC8">
            <w:pPr>
              <w:rPr>
                <w:sz w:val="16"/>
                <w:szCs w:val="16"/>
              </w:rPr>
            </w:pPr>
            <w:proofErr w:type="spellStart"/>
            <w:r w:rsidRPr="00933336">
              <w:rPr>
                <w:sz w:val="16"/>
                <w:szCs w:val="16"/>
              </w:rPr>
              <w:t>on</w:t>
            </w:r>
            <w:proofErr w:type="spellEnd"/>
            <w:r w:rsidRPr="00933336">
              <w:rPr>
                <w:sz w:val="16"/>
                <w:szCs w:val="16"/>
              </w:rPr>
              <w:t xml:space="preserve"> </w:t>
            </w:r>
            <w:proofErr w:type="spellStart"/>
            <w:r w:rsidRPr="00933336">
              <w:rPr>
                <w:sz w:val="16"/>
                <w:szCs w:val="16"/>
              </w:rPr>
              <w:t>investment</w:t>
            </w:r>
            <w:proofErr w:type="spellEnd"/>
            <w:r w:rsidRPr="00933336">
              <w:rPr>
                <w:sz w:val="16"/>
                <w:szCs w:val="16"/>
              </w:rPr>
              <w:t xml:space="preserve"> </w:t>
            </w:r>
            <w:proofErr w:type="spellStart"/>
            <w:r w:rsidRPr="00933336">
              <w:rPr>
                <w:sz w:val="16"/>
                <w:szCs w:val="16"/>
              </w:rPr>
              <w:t>projects</w:t>
            </w:r>
            <w:proofErr w:type="spellEnd"/>
          </w:p>
        </w:tc>
        <w:tc>
          <w:tcPr>
            <w:tcW w:w="851" w:type="dxa"/>
            <w:shd w:val="clear" w:color="auto" w:fill="auto"/>
            <w:hideMark/>
          </w:tcPr>
          <w:p w:rsidR="00FB3CA1" w:rsidRDefault="00FB3CA1" w:rsidP="00770BC8">
            <w:r>
              <w:rPr>
                <w:sz w:val="16"/>
                <w:szCs w:val="16"/>
                <w:lang w:val="en-US"/>
              </w:rPr>
              <w:t>Billion</w:t>
            </w:r>
            <w:r w:rsidRPr="009639FF">
              <w:rPr>
                <w:sz w:val="16"/>
                <w:szCs w:val="16"/>
                <w:lang w:val="en-US"/>
              </w:rPr>
              <w:t xml:space="preserve"> KZT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 xml:space="preserve">345,3   </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332,2</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103,9</w:t>
            </w:r>
          </w:p>
        </w:tc>
        <w:tc>
          <w:tcPr>
            <w:tcW w:w="3260" w:type="dxa"/>
            <w:vAlign w:val="center"/>
          </w:tcPr>
          <w:p w:rsidR="00FB3CA1" w:rsidRPr="00917B63" w:rsidRDefault="00917B63" w:rsidP="00770BC8">
            <w:pPr>
              <w:rPr>
                <w:sz w:val="16"/>
                <w:szCs w:val="16"/>
                <w:lang w:val="en-US"/>
              </w:rPr>
            </w:pPr>
            <w:r w:rsidRPr="00917B63">
              <w:rPr>
                <w:sz w:val="16"/>
                <w:szCs w:val="16"/>
                <w:lang w:val="en-US"/>
              </w:rPr>
              <w:t>Due to growth in the development of project</w:t>
            </w:r>
            <w:r>
              <w:rPr>
                <w:sz w:val="16"/>
                <w:szCs w:val="16"/>
                <w:lang w:val="en-US"/>
              </w:rPr>
              <w:t>s</w:t>
            </w:r>
          </w:p>
        </w:tc>
      </w:tr>
      <w:tr w:rsidR="00FB3CA1" w:rsidRPr="00353DB4" w:rsidTr="00CF5769">
        <w:trPr>
          <w:trHeight w:val="353"/>
        </w:trPr>
        <w:tc>
          <w:tcPr>
            <w:tcW w:w="2977" w:type="dxa"/>
            <w:shd w:val="clear" w:color="auto" w:fill="auto"/>
            <w:hideMark/>
          </w:tcPr>
          <w:p w:rsidR="00FB3CA1" w:rsidRPr="00933336" w:rsidRDefault="00FB3CA1" w:rsidP="00770BC8">
            <w:pPr>
              <w:rPr>
                <w:sz w:val="16"/>
                <w:szCs w:val="16"/>
              </w:rPr>
            </w:pPr>
            <w:r>
              <w:rPr>
                <w:sz w:val="16"/>
                <w:szCs w:val="16"/>
              </w:rPr>
              <w:t>o</w:t>
            </w:r>
            <w:r>
              <w:rPr>
                <w:sz w:val="16"/>
                <w:szCs w:val="16"/>
                <w:lang w:val="en-US"/>
              </w:rPr>
              <w:t>n</w:t>
            </w:r>
            <w:r w:rsidRPr="00933336">
              <w:rPr>
                <w:sz w:val="16"/>
                <w:szCs w:val="16"/>
              </w:rPr>
              <w:t xml:space="preserve"> </w:t>
            </w:r>
            <w:proofErr w:type="spellStart"/>
            <w:r w:rsidRPr="00933336">
              <w:rPr>
                <w:sz w:val="16"/>
                <w:szCs w:val="16"/>
              </w:rPr>
              <w:t>leasing</w:t>
            </w:r>
            <w:proofErr w:type="spellEnd"/>
            <w:r w:rsidRPr="00933336">
              <w:rPr>
                <w:sz w:val="16"/>
                <w:szCs w:val="16"/>
              </w:rPr>
              <w:t xml:space="preserve"> </w:t>
            </w:r>
            <w:proofErr w:type="spellStart"/>
            <w:r w:rsidRPr="00933336">
              <w:rPr>
                <w:sz w:val="16"/>
                <w:szCs w:val="16"/>
              </w:rPr>
              <w:t>projects</w:t>
            </w:r>
            <w:proofErr w:type="spellEnd"/>
          </w:p>
        </w:tc>
        <w:tc>
          <w:tcPr>
            <w:tcW w:w="851" w:type="dxa"/>
            <w:shd w:val="clear" w:color="auto" w:fill="auto"/>
            <w:hideMark/>
          </w:tcPr>
          <w:p w:rsidR="00FB3CA1" w:rsidRDefault="00FB3CA1" w:rsidP="00770BC8">
            <w:r>
              <w:rPr>
                <w:sz w:val="16"/>
                <w:szCs w:val="16"/>
                <w:lang w:val="en-US"/>
              </w:rPr>
              <w:t>Billion</w:t>
            </w:r>
            <w:r w:rsidRPr="009639FF">
              <w:rPr>
                <w:sz w:val="16"/>
                <w:szCs w:val="16"/>
                <w:lang w:val="en-US"/>
              </w:rPr>
              <w:t xml:space="preserve"> KZT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 xml:space="preserve">22,4   </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25,8</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86,8</w:t>
            </w:r>
          </w:p>
        </w:tc>
        <w:tc>
          <w:tcPr>
            <w:tcW w:w="3260" w:type="dxa"/>
          </w:tcPr>
          <w:p w:rsidR="00FB3CA1" w:rsidRPr="00942511" w:rsidRDefault="00FB3CA1" w:rsidP="00AF47B9">
            <w:pPr>
              <w:rPr>
                <w:sz w:val="16"/>
                <w:szCs w:val="16"/>
                <w:lang w:val="en-US"/>
              </w:rPr>
            </w:pPr>
            <w:r w:rsidRPr="00942511">
              <w:rPr>
                <w:sz w:val="16"/>
                <w:szCs w:val="16"/>
                <w:lang w:val="en-US"/>
              </w:rPr>
              <w:t>Early repayment and low development of the project</w:t>
            </w:r>
          </w:p>
        </w:tc>
      </w:tr>
      <w:tr w:rsidR="00917B63" w:rsidRPr="00353DB4" w:rsidTr="00CF5769">
        <w:trPr>
          <w:trHeight w:val="315"/>
        </w:trPr>
        <w:tc>
          <w:tcPr>
            <w:tcW w:w="2977" w:type="dxa"/>
            <w:shd w:val="clear" w:color="auto" w:fill="auto"/>
            <w:hideMark/>
          </w:tcPr>
          <w:p w:rsidR="00917B63" w:rsidRPr="00933336" w:rsidRDefault="00917B63" w:rsidP="00770BC8">
            <w:pPr>
              <w:rPr>
                <w:sz w:val="16"/>
                <w:szCs w:val="16"/>
              </w:rPr>
            </w:pPr>
            <w:r>
              <w:rPr>
                <w:sz w:val="16"/>
                <w:szCs w:val="16"/>
                <w:lang w:val="en-US"/>
              </w:rPr>
              <w:t xml:space="preserve">on </w:t>
            </w:r>
            <w:proofErr w:type="spellStart"/>
            <w:r w:rsidRPr="00933336">
              <w:rPr>
                <w:sz w:val="16"/>
                <w:szCs w:val="16"/>
              </w:rPr>
              <w:t>export</w:t>
            </w:r>
            <w:proofErr w:type="spellEnd"/>
            <w:r w:rsidRPr="00933336">
              <w:rPr>
                <w:sz w:val="16"/>
                <w:szCs w:val="16"/>
              </w:rPr>
              <w:t xml:space="preserve"> </w:t>
            </w:r>
            <w:proofErr w:type="spellStart"/>
            <w:r w:rsidRPr="00933336">
              <w:rPr>
                <w:sz w:val="16"/>
                <w:szCs w:val="16"/>
              </w:rPr>
              <w:t>credit</w:t>
            </w:r>
            <w:proofErr w:type="spellEnd"/>
          </w:p>
        </w:tc>
        <w:tc>
          <w:tcPr>
            <w:tcW w:w="851" w:type="dxa"/>
            <w:shd w:val="clear" w:color="auto" w:fill="auto"/>
            <w:hideMark/>
          </w:tcPr>
          <w:p w:rsidR="00917B63" w:rsidRDefault="00917B63" w:rsidP="00770BC8">
            <w:r>
              <w:rPr>
                <w:sz w:val="16"/>
                <w:szCs w:val="16"/>
                <w:lang w:val="en-US"/>
              </w:rPr>
              <w:t>Billion</w:t>
            </w:r>
            <w:r w:rsidRPr="009639FF">
              <w:rPr>
                <w:sz w:val="16"/>
                <w:szCs w:val="16"/>
                <w:lang w:val="en-US"/>
              </w:rPr>
              <w:t xml:space="preserve"> KZT</w:t>
            </w:r>
          </w:p>
        </w:tc>
        <w:tc>
          <w:tcPr>
            <w:tcW w:w="992" w:type="dxa"/>
            <w:shd w:val="clear" w:color="auto" w:fill="auto"/>
            <w:noWrap/>
            <w:vAlign w:val="center"/>
            <w:hideMark/>
          </w:tcPr>
          <w:p w:rsidR="00917B63" w:rsidRPr="00C74E45" w:rsidRDefault="00917B63" w:rsidP="00AF47B9">
            <w:pPr>
              <w:jc w:val="center"/>
              <w:rPr>
                <w:sz w:val="16"/>
                <w:szCs w:val="16"/>
              </w:rPr>
            </w:pPr>
            <w:r w:rsidRPr="00C74E45">
              <w:rPr>
                <w:sz w:val="16"/>
                <w:szCs w:val="16"/>
              </w:rPr>
              <w:t xml:space="preserve">46,9   </w:t>
            </w:r>
          </w:p>
        </w:tc>
        <w:tc>
          <w:tcPr>
            <w:tcW w:w="850" w:type="dxa"/>
            <w:shd w:val="clear" w:color="auto" w:fill="auto"/>
            <w:noWrap/>
            <w:vAlign w:val="center"/>
            <w:hideMark/>
          </w:tcPr>
          <w:p w:rsidR="00917B63" w:rsidRPr="00C74E45" w:rsidRDefault="00917B63" w:rsidP="00AF47B9">
            <w:pPr>
              <w:jc w:val="center"/>
              <w:rPr>
                <w:sz w:val="16"/>
                <w:szCs w:val="16"/>
              </w:rPr>
            </w:pPr>
            <w:r w:rsidRPr="00C74E45">
              <w:rPr>
                <w:sz w:val="16"/>
                <w:szCs w:val="16"/>
              </w:rPr>
              <w:t>41,0</w:t>
            </w:r>
          </w:p>
        </w:tc>
        <w:tc>
          <w:tcPr>
            <w:tcW w:w="993" w:type="dxa"/>
            <w:vAlign w:val="center"/>
          </w:tcPr>
          <w:p w:rsidR="00917B63" w:rsidRPr="00C74E45" w:rsidRDefault="00917B63" w:rsidP="00AF47B9">
            <w:pPr>
              <w:jc w:val="center"/>
              <w:rPr>
                <w:color w:val="000000"/>
                <w:sz w:val="16"/>
                <w:szCs w:val="16"/>
              </w:rPr>
            </w:pPr>
            <w:r w:rsidRPr="00C74E45">
              <w:rPr>
                <w:color w:val="000000"/>
                <w:sz w:val="16"/>
                <w:szCs w:val="16"/>
              </w:rPr>
              <w:t>114,4</w:t>
            </w:r>
          </w:p>
        </w:tc>
        <w:tc>
          <w:tcPr>
            <w:tcW w:w="3260" w:type="dxa"/>
            <w:vAlign w:val="center"/>
          </w:tcPr>
          <w:p w:rsidR="00917B63" w:rsidRPr="00917B63" w:rsidRDefault="00917B63" w:rsidP="00AF47B9">
            <w:pPr>
              <w:rPr>
                <w:sz w:val="16"/>
                <w:szCs w:val="16"/>
                <w:lang w:val="en-US"/>
              </w:rPr>
            </w:pPr>
            <w:r w:rsidRPr="00917B63">
              <w:rPr>
                <w:sz w:val="16"/>
                <w:szCs w:val="16"/>
                <w:lang w:val="en-US"/>
              </w:rPr>
              <w:t>Due to growth in the development of project</w:t>
            </w:r>
            <w:r>
              <w:rPr>
                <w:sz w:val="16"/>
                <w:szCs w:val="16"/>
                <w:lang w:val="en-US"/>
              </w:rPr>
              <w:t>s</w:t>
            </w:r>
          </w:p>
        </w:tc>
      </w:tr>
      <w:tr w:rsidR="00FB3CA1" w:rsidRPr="002A0E0D" w:rsidTr="00CF5769">
        <w:trPr>
          <w:trHeight w:val="335"/>
        </w:trPr>
        <w:tc>
          <w:tcPr>
            <w:tcW w:w="2977" w:type="dxa"/>
            <w:shd w:val="clear" w:color="auto" w:fill="auto"/>
            <w:hideMark/>
          </w:tcPr>
          <w:p w:rsidR="00FB3CA1" w:rsidRPr="00933336" w:rsidRDefault="00FB3CA1" w:rsidP="00770BC8">
            <w:pPr>
              <w:rPr>
                <w:sz w:val="16"/>
                <w:szCs w:val="16"/>
                <w:lang w:val="en-US"/>
              </w:rPr>
            </w:pPr>
            <w:r>
              <w:rPr>
                <w:sz w:val="16"/>
                <w:szCs w:val="16"/>
                <w:lang w:val="en-US"/>
              </w:rPr>
              <w:t>Application of funds on the projects</w:t>
            </w:r>
            <w:r w:rsidRPr="00933336">
              <w:rPr>
                <w:sz w:val="16"/>
                <w:szCs w:val="16"/>
                <w:lang w:val="en-US"/>
              </w:rPr>
              <w:t xml:space="preserve">, billion </w:t>
            </w:r>
            <w:r>
              <w:rPr>
                <w:sz w:val="16"/>
                <w:szCs w:val="16"/>
                <w:lang w:val="en-US"/>
              </w:rPr>
              <w:t>KZT</w:t>
            </w:r>
          </w:p>
        </w:tc>
        <w:tc>
          <w:tcPr>
            <w:tcW w:w="851" w:type="dxa"/>
            <w:shd w:val="clear" w:color="auto" w:fill="auto"/>
            <w:hideMark/>
          </w:tcPr>
          <w:p w:rsidR="00FB3CA1" w:rsidRDefault="00FB3CA1" w:rsidP="00770BC8">
            <w:r>
              <w:rPr>
                <w:sz w:val="16"/>
                <w:szCs w:val="16"/>
                <w:lang w:val="en-US"/>
              </w:rPr>
              <w:t>Billion</w:t>
            </w:r>
            <w:r w:rsidRPr="009639FF">
              <w:rPr>
                <w:sz w:val="16"/>
                <w:szCs w:val="16"/>
                <w:lang w:val="en-US"/>
              </w:rPr>
              <w:t xml:space="preserve"> KZT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28,0</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5,3</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528,3</w:t>
            </w:r>
          </w:p>
        </w:tc>
        <w:tc>
          <w:tcPr>
            <w:tcW w:w="3260" w:type="dxa"/>
          </w:tcPr>
          <w:p w:rsidR="00FB3CA1" w:rsidRPr="00942511" w:rsidRDefault="00917B63" w:rsidP="00770BC8">
            <w:pPr>
              <w:rPr>
                <w:sz w:val="16"/>
                <w:szCs w:val="16"/>
                <w:lang w:val="en-US"/>
              </w:rPr>
            </w:pPr>
            <w:r>
              <w:rPr>
                <w:sz w:val="16"/>
                <w:szCs w:val="16"/>
                <w:lang w:val="en-US"/>
              </w:rPr>
              <w:t>New projects are approved</w:t>
            </w:r>
          </w:p>
        </w:tc>
      </w:tr>
      <w:tr w:rsidR="00FB3CA1" w:rsidRPr="00353DB4" w:rsidTr="00CF5769">
        <w:trPr>
          <w:trHeight w:val="371"/>
        </w:trPr>
        <w:tc>
          <w:tcPr>
            <w:tcW w:w="2977" w:type="dxa"/>
            <w:shd w:val="clear" w:color="auto" w:fill="auto"/>
            <w:hideMark/>
          </w:tcPr>
          <w:p w:rsidR="00FB3CA1" w:rsidRPr="00933336" w:rsidRDefault="00FB3CA1" w:rsidP="00770BC8">
            <w:pPr>
              <w:rPr>
                <w:sz w:val="16"/>
                <w:szCs w:val="16"/>
                <w:lang w:val="en-US"/>
              </w:rPr>
            </w:pPr>
            <w:r>
              <w:rPr>
                <w:sz w:val="16"/>
                <w:szCs w:val="16"/>
                <w:lang w:val="en-US"/>
              </w:rPr>
              <w:t>Le</w:t>
            </w:r>
            <w:r w:rsidRPr="00933336">
              <w:rPr>
                <w:sz w:val="16"/>
                <w:szCs w:val="16"/>
                <w:lang w:val="en-US"/>
              </w:rPr>
              <w:t xml:space="preserve">vel of </w:t>
            </w:r>
            <w:r>
              <w:rPr>
                <w:sz w:val="16"/>
                <w:szCs w:val="16"/>
                <w:lang w:val="en-US"/>
              </w:rPr>
              <w:t xml:space="preserve">formed </w:t>
            </w:r>
            <w:r w:rsidRPr="00933336">
              <w:rPr>
                <w:sz w:val="16"/>
                <w:szCs w:val="16"/>
                <w:lang w:val="en-US"/>
              </w:rPr>
              <w:t>provisions to the loan portfolio,%</w:t>
            </w:r>
          </w:p>
        </w:tc>
        <w:tc>
          <w:tcPr>
            <w:tcW w:w="851" w:type="dxa"/>
            <w:shd w:val="clear" w:color="auto" w:fill="auto"/>
            <w:vAlign w:val="center"/>
            <w:hideMark/>
          </w:tcPr>
          <w:p w:rsidR="00FB3CA1" w:rsidRPr="00FB7A56" w:rsidRDefault="00FB3CA1" w:rsidP="00770BC8">
            <w:pPr>
              <w:jc w:val="center"/>
              <w:rPr>
                <w:sz w:val="16"/>
                <w:szCs w:val="16"/>
              </w:rPr>
            </w:pPr>
            <w:r w:rsidRPr="00FB7A56">
              <w:rPr>
                <w:sz w:val="16"/>
                <w:szCs w:val="16"/>
              </w:rPr>
              <w: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30,0</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28,3</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106,0</w:t>
            </w:r>
          </w:p>
        </w:tc>
        <w:tc>
          <w:tcPr>
            <w:tcW w:w="3260" w:type="dxa"/>
          </w:tcPr>
          <w:p w:rsidR="00FB3CA1" w:rsidRPr="00942511" w:rsidRDefault="00FB3CA1" w:rsidP="00770BC8">
            <w:pPr>
              <w:rPr>
                <w:sz w:val="16"/>
                <w:szCs w:val="16"/>
                <w:lang w:val="en-US"/>
              </w:rPr>
            </w:pPr>
            <w:r w:rsidRPr="00942511">
              <w:rPr>
                <w:sz w:val="16"/>
                <w:szCs w:val="16"/>
                <w:lang w:val="en-US"/>
              </w:rPr>
              <w:t>deterioration of the quality of loan portfolio</w:t>
            </w:r>
          </w:p>
        </w:tc>
      </w:tr>
      <w:tr w:rsidR="00FB3CA1" w:rsidRPr="00353DB4" w:rsidTr="00CF5769">
        <w:trPr>
          <w:trHeight w:val="510"/>
        </w:trPr>
        <w:tc>
          <w:tcPr>
            <w:tcW w:w="2977" w:type="dxa"/>
            <w:shd w:val="clear" w:color="auto" w:fill="auto"/>
            <w:hideMark/>
          </w:tcPr>
          <w:p w:rsidR="00FB3CA1" w:rsidRPr="00933336" w:rsidRDefault="00FB3CA1" w:rsidP="00BF33CA">
            <w:pPr>
              <w:rPr>
                <w:sz w:val="16"/>
                <w:szCs w:val="16"/>
                <w:lang w:val="en-US"/>
              </w:rPr>
            </w:pPr>
            <w:r w:rsidRPr="00933336">
              <w:rPr>
                <w:sz w:val="16"/>
                <w:szCs w:val="16"/>
                <w:lang w:val="en-US"/>
              </w:rPr>
              <w:t>Investments of private equity funds (hereinafter - P</w:t>
            </w:r>
            <w:r>
              <w:rPr>
                <w:sz w:val="16"/>
                <w:szCs w:val="16"/>
                <w:lang w:val="en-US"/>
              </w:rPr>
              <w:t>EF</w:t>
            </w:r>
            <w:r w:rsidRPr="00933336">
              <w:rPr>
                <w:sz w:val="16"/>
                <w:szCs w:val="16"/>
                <w:lang w:val="en-US"/>
              </w:rPr>
              <w:t>) in the projects on the territory of the Republic of Kazakhstan with respect to one tenge</w:t>
            </w:r>
            <w:r>
              <w:rPr>
                <w:sz w:val="16"/>
                <w:szCs w:val="16"/>
                <w:lang w:val="en-US"/>
              </w:rPr>
              <w:t xml:space="preserve"> of</w:t>
            </w:r>
            <w:r w:rsidRPr="00933336">
              <w:rPr>
                <w:sz w:val="16"/>
                <w:szCs w:val="16"/>
                <w:lang w:val="en-US"/>
              </w:rPr>
              <w:t xml:space="preserve"> invested funds of </w:t>
            </w:r>
            <w:r>
              <w:rPr>
                <w:sz w:val="16"/>
                <w:szCs w:val="16"/>
                <w:lang w:val="en-US"/>
              </w:rPr>
              <w:t>KCM</w:t>
            </w:r>
          </w:p>
        </w:tc>
        <w:tc>
          <w:tcPr>
            <w:tcW w:w="851" w:type="dxa"/>
            <w:shd w:val="clear" w:color="auto" w:fill="auto"/>
            <w:vAlign w:val="center"/>
            <w:hideMark/>
          </w:tcPr>
          <w:p w:rsidR="00FB3CA1" w:rsidRPr="00790474" w:rsidRDefault="00FB3CA1" w:rsidP="00770BC8">
            <w:pPr>
              <w:jc w:val="center"/>
              <w:rPr>
                <w:sz w:val="16"/>
                <w:szCs w:val="16"/>
                <w:lang w:val="en-US"/>
              </w:rPr>
            </w:pPr>
            <w:r>
              <w:rPr>
                <w:sz w:val="16"/>
                <w:szCs w:val="16"/>
                <w:lang w:val="en-US"/>
              </w:rPr>
              <w:t>ratio</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2,08</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2,49</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84</w:t>
            </w:r>
          </w:p>
        </w:tc>
        <w:tc>
          <w:tcPr>
            <w:tcW w:w="3260" w:type="dxa"/>
          </w:tcPr>
          <w:p w:rsidR="00FB3CA1" w:rsidRPr="00D61BC8" w:rsidRDefault="00FB3CA1" w:rsidP="00917B63">
            <w:pPr>
              <w:rPr>
                <w:sz w:val="16"/>
                <w:szCs w:val="16"/>
                <w:lang w:val="en-US"/>
              </w:rPr>
            </w:pPr>
            <w:r w:rsidRPr="00D61BC8">
              <w:rPr>
                <w:sz w:val="16"/>
                <w:szCs w:val="16"/>
                <w:lang w:val="en-US"/>
              </w:rPr>
              <w:t xml:space="preserve">Reduction commitments </w:t>
            </w:r>
            <w:r>
              <w:rPr>
                <w:sz w:val="16"/>
                <w:szCs w:val="16"/>
                <w:lang w:val="en-US"/>
              </w:rPr>
              <w:t xml:space="preserve">of PEF </w:t>
            </w:r>
            <w:r w:rsidR="00917B63">
              <w:rPr>
                <w:sz w:val="16"/>
                <w:szCs w:val="16"/>
                <w:lang w:val="en-US"/>
              </w:rPr>
              <w:t xml:space="preserve">in H1 2012 compared to the same period of 2011 </w:t>
            </w:r>
            <w:r w:rsidRPr="00D61BC8">
              <w:rPr>
                <w:sz w:val="16"/>
                <w:szCs w:val="16"/>
                <w:lang w:val="en-US"/>
              </w:rPr>
              <w:t>d</w:t>
            </w:r>
            <w:r>
              <w:rPr>
                <w:sz w:val="16"/>
                <w:szCs w:val="16"/>
                <w:lang w:val="en-US"/>
              </w:rPr>
              <w:t>ue to</w:t>
            </w:r>
            <w:r w:rsidRPr="00D61BC8">
              <w:rPr>
                <w:sz w:val="16"/>
                <w:szCs w:val="16"/>
                <w:lang w:val="en-US"/>
              </w:rPr>
              <w:t xml:space="preserve"> decrease in the size of </w:t>
            </w:r>
            <w:r>
              <w:rPr>
                <w:sz w:val="16"/>
                <w:szCs w:val="16"/>
                <w:lang w:val="en-US"/>
              </w:rPr>
              <w:t>PEF</w:t>
            </w:r>
            <w:r w:rsidRPr="00D61BC8">
              <w:rPr>
                <w:sz w:val="16"/>
                <w:szCs w:val="16"/>
                <w:lang w:val="en-US"/>
              </w:rPr>
              <w:t>.</w:t>
            </w:r>
          </w:p>
        </w:tc>
      </w:tr>
      <w:tr w:rsidR="00FB3CA1" w:rsidRPr="00353DB4" w:rsidTr="00CF5769">
        <w:trPr>
          <w:trHeight w:val="510"/>
        </w:trPr>
        <w:tc>
          <w:tcPr>
            <w:tcW w:w="2977" w:type="dxa"/>
            <w:shd w:val="clear" w:color="auto" w:fill="auto"/>
            <w:hideMark/>
          </w:tcPr>
          <w:p w:rsidR="00FB3CA1" w:rsidRPr="00933336" w:rsidRDefault="00FB3CA1" w:rsidP="00BF33CA">
            <w:pPr>
              <w:rPr>
                <w:sz w:val="16"/>
                <w:szCs w:val="16"/>
                <w:lang w:val="en-US"/>
              </w:rPr>
            </w:pPr>
            <w:r w:rsidRPr="00933336">
              <w:rPr>
                <w:sz w:val="16"/>
                <w:szCs w:val="16"/>
                <w:lang w:val="en-US"/>
              </w:rPr>
              <w:t xml:space="preserve">Ratio of liabilities of </w:t>
            </w:r>
            <w:r>
              <w:rPr>
                <w:sz w:val="16"/>
                <w:szCs w:val="16"/>
                <w:lang w:val="en-US"/>
              </w:rPr>
              <w:t>KCM</w:t>
            </w:r>
            <w:r w:rsidRPr="00933336">
              <w:rPr>
                <w:sz w:val="16"/>
                <w:szCs w:val="16"/>
                <w:lang w:val="en-US"/>
              </w:rPr>
              <w:t xml:space="preserve"> </w:t>
            </w:r>
            <w:r>
              <w:rPr>
                <w:sz w:val="16"/>
                <w:szCs w:val="16"/>
                <w:lang w:val="en-US"/>
              </w:rPr>
              <w:t>on</w:t>
            </w:r>
            <w:r w:rsidRPr="00933336">
              <w:rPr>
                <w:sz w:val="16"/>
                <w:szCs w:val="16"/>
                <w:lang w:val="en-US"/>
              </w:rPr>
              <w:t xml:space="preserve"> invest</w:t>
            </w:r>
            <w:r>
              <w:rPr>
                <w:sz w:val="16"/>
                <w:szCs w:val="16"/>
                <w:lang w:val="en-US"/>
              </w:rPr>
              <w:t>ment in PEF to the</w:t>
            </w:r>
            <w:r w:rsidRPr="00933336">
              <w:rPr>
                <w:sz w:val="16"/>
                <w:szCs w:val="16"/>
                <w:lang w:val="en-US"/>
              </w:rPr>
              <w:t xml:space="preserve"> equity </w:t>
            </w:r>
            <w:r>
              <w:rPr>
                <w:sz w:val="16"/>
                <w:szCs w:val="16"/>
                <w:lang w:val="en-US"/>
              </w:rPr>
              <w:t>of</w:t>
            </w:r>
            <w:r w:rsidRPr="00933336">
              <w:rPr>
                <w:sz w:val="16"/>
                <w:szCs w:val="16"/>
                <w:lang w:val="en-US"/>
              </w:rPr>
              <w:t xml:space="preserve"> the Company.</w:t>
            </w:r>
          </w:p>
        </w:tc>
        <w:tc>
          <w:tcPr>
            <w:tcW w:w="851" w:type="dxa"/>
            <w:shd w:val="clear" w:color="auto" w:fill="auto"/>
            <w:vAlign w:val="center"/>
            <w:hideMark/>
          </w:tcPr>
          <w:p w:rsidR="00FB3CA1" w:rsidRPr="00FB7A56" w:rsidRDefault="00FB3CA1" w:rsidP="00770BC8">
            <w:pPr>
              <w:jc w:val="center"/>
              <w:rPr>
                <w:sz w:val="16"/>
                <w:szCs w:val="16"/>
              </w:rPr>
            </w:pPr>
            <w:r w:rsidRPr="00FB7A56">
              <w:rPr>
                <w:sz w:val="16"/>
                <w:szCs w:val="16"/>
              </w:rPr>
              <w:t>%</w:t>
            </w:r>
          </w:p>
        </w:tc>
        <w:tc>
          <w:tcPr>
            <w:tcW w:w="992" w:type="dxa"/>
            <w:shd w:val="clear" w:color="auto" w:fill="auto"/>
            <w:noWrap/>
            <w:vAlign w:val="center"/>
            <w:hideMark/>
          </w:tcPr>
          <w:p w:rsidR="00FB3CA1" w:rsidRPr="00C74E45" w:rsidRDefault="00FB3CA1" w:rsidP="00AF47B9">
            <w:pPr>
              <w:jc w:val="center"/>
              <w:rPr>
                <w:sz w:val="16"/>
                <w:szCs w:val="16"/>
              </w:rPr>
            </w:pPr>
            <w:r w:rsidRPr="00C74E45">
              <w:rPr>
                <w:sz w:val="16"/>
                <w:szCs w:val="16"/>
              </w:rPr>
              <w:t>92,77</w:t>
            </w:r>
          </w:p>
        </w:tc>
        <w:tc>
          <w:tcPr>
            <w:tcW w:w="850" w:type="dxa"/>
            <w:shd w:val="clear" w:color="auto" w:fill="auto"/>
            <w:noWrap/>
            <w:vAlign w:val="center"/>
            <w:hideMark/>
          </w:tcPr>
          <w:p w:rsidR="00FB3CA1" w:rsidRPr="00C74E45" w:rsidRDefault="00FB3CA1" w:rsidP="00AF47B9">
            <w:pPr>
              <w:jc w:val="center"/>
              <w:rPr>
                <w:sz w:val="16"/>
                <w:szCs w:val="16"/>
              </w:rPr>
            </w:pPr>
            <w:r w:rsidRPr="00C74E45">
              <w:rPr>
                <w:sz w:val="16"/>
                <w:szCs w:val="16"/>
              </w:rPr>
              <w:t>91,73</w:t>
            </w:r>
          </w:p>
        </w:tc>
        <w:tc>
          <w:tcPr>
            <w:tcW w:w="993" w:type="dxa"/>
            <w:vAlign w:val="center"/>
          </w:tcPr>
          <w:p w:rsidR="00FB3CA1" w:rsidRPr="00C74E45" w:rsidRDefault="00FB3CA1" w:rsidP="00AF47B9">
            <w:pPr>
              <w:jc w:val="center"/>
              <w:rPr>
                <w:color w:val="000000"/>
                <w:sz w:val="16"/>
                <w:szCs w:val="16"/>
              </w:rPr>
            </w:pPr>
            <w:r w:rsidRPr="00C74E45">
              <w:rPr>
                <w:color w:val="000000"/>
                <w:sz w:val="16"/>
                <w:szCs w:val="16"/>
              </w:rPr>
              <w:t>102</w:t>
            </w:r>
          </w:p>
        </w:tc>
        <w:tc>
          <w:tcPr>
            <w:tcW w:w="3260" w:type="dxa"/>
          </w:tcPr>
          <w:p w:rsidR="00FB3CA1" w:rsidRPr="00D61BC8" w:rsidRDefault="00FB3CA1" w:rsidP="00917B63">
            <w:pPr>
              <w:rPr>
                <w:sz w:val="16"/>
                <w:szCs w:val="16"/>
                <w:lang w:val="en-US"/>
              </w:rPr>
            </w:pPr>
            <w:r>
              <w:rPr>
                <w:sz w:val="16"/>
                <w:szCs w:val="16"/>
                <w:lang w:val="en-US"/>
              </w:rPr>
              <w:t>Due to</w:t>
            </w:r>
            <w:r w:rsidRPr="00D61BC8">
              <w:rPr>
                <w:sz w:val="16"/>
                <w:szCs w:val="16"/>
                <w:lang w:val="en-US"/>
              </w:rPr>
              <w:t xml:space="preserve"> increasing commitments </w:t>
            </w:r>
            <w:r w:rsidR="00917B63">
              <w:rPr>
                <w:sz w:val="16"/>
                <w:szCs w:val="16"/>
                <w:lang w:val="en-US"/>
              </w:rPr>
              <w:t xml:space="preserve">taken </w:t>
            </w:r>
            <w:r w:rsidRPr="00D61BC8">
              <w:rPr>
                <w:sz w:val="16"/>
                <w:szCs w:val="16"/>
                <w:lang w:val="en-US"/>
              </w:rPr>
              <w:t xml:space="preserve">with the establishment of Russian-Kazakh fund </w:t>
            </w:r>
            <w:r>
              <w:rPr>
                <w:sz w:val="16"/>
                <w:szCs w:val="16"/>
                <w:lang w:val="en-US"/>
              </w:rPr>
              <w:t xml:space="preserve">of </w:t>
            </w:r>
            <w:r w:rsidRPr="00D61BC8">
              <w:rPr>
                <w:sz w:val="16"/>
                <w:szCs w:val="16"/>
                <w:lang w:val="en-US"/>
              </w:rPr>
              <w:t xml:space="preserve">nanotechnology </w:t>
            </w:r>
            <w:r>
              <w:rPr>
                <w:sz w:val="16"/>
                <w:szCs w:val="16"/>
                <w:lang w:val="en-US"/>
              </w:rPr>
              <w:t xml:space="preserve">on </w:t>
            </w:r>
            <w:r w:rsidRPr="00D61BC8">
              <w:rPr>
                <w:sz w:val="16"/>
                <w:szCs w:val="16"/>
                <w:lang w:val="en-US"/>
              </w:rPr>
              <w:t>December 20, 2011</w:t>
            </w:r>
          </w:p>
        </w:tc>
      </w:tr>
      <w:tr w:rsidR="00917B63" w:rsidRPr="00353DB4" w:rsidTr="00CF5769">
        <w:trPr>
          <w:trHeight w:val="510"/>
        </w:trPr>
        <w:tc>
          <w:tcPr>
            <w:tcW w:w="2977" w:type="dxa"/>
            <w:shd w:val="clear" w:color="auto" w:fill="auto"/>
            <w:hideMark/>
          </w:tcPr>
          <w:p w:rsidR="00917B63" w:rsidRPr="00BF33CA" w:rsidRDefault="00917B63" w:rsidP="00770BC8">
            <w:pPr>
              <w:rPr>
                <w:sz w:val="16"/>
                <w:szCs w:val="16"/>
                <w:lang w:val="en-US"/>
              </w:rPr>
            </w:pPr>
            <w:r w:rsidRPr="00BF33CA">
              <w:rPr>
                <w:sz w:val="16"/>
                <w:szCs w:val="16"/>
                <w:lang w:val="en-US"/>
              </w:rPr>
              <w:t>Real Estate pool</w:t>
            </w:r>
            <w:r>
              <w:rPr>
                <w:sz w:val="16"/>
                <w:szCs w:val="16"/>
                <w:lang w:val="en-US"/>
              </w:rPr>
              <w:t xml:space="preserve"> under Anti-crisis program</w:t>
            </w:r>
          </w:p>
        </w:tc>
        <w:tc>
          <w:tcPr>
            <w:tcW w:w="851" w:type="dxa"/>
            <w:shd w:val="clear" w:color="auto" w:fill="auto"/>
            <w:vAlign w:val="center"/>
            <w:hideMark/>
          </w:tcPr>
          <w:p w:rsidR="00917B63" w:rsidRPr="00790474" w:rsidRDefault="00917B63" w:rsidP="00770BC8">
            <w:pPr>
              <w:jc w:val="center"/>
              <w:rPr>
                <w:color w:val="000000"/>
                <w:sz w:val="16"/>
                <w:szCs w:val="16"/>
                <w:lang w:val="en-US"/>
              </w:rPr>
            </w:pPr>
            <w:proofErr w:type="spellStart"/>
            <w:r>
              <w:rPr>
                <w:color w:val="000000"/>
                <w:sz w:val="16"/>
                <w:szCs w:val="16"/>
                <w:lang w:val="en-US"/>
              </w:rPr>
              <w:t>Sq.m</w:t>
            </w:r>
            <w:proofErr w:type="spellEnd"/>
          </w:p>
        </w:tc>
        <w:tc>
          <w:tcPr>
            <w:tcW w:w="992" w:type="dxa"/>
            <w:shd w:val="clear" w:color="auto" w:fill="auto"/>
            <w:vAlign w:val="center"/>
            <w:hideMark/>
          </w:tcPr>
          <w:p w:rsidR="00917B63" w:rsidRPr="00C74E45" w:rsidRDefault="00917B63" w:rsidP="00AF47B9">
            <w:pPr>
              <w:jc w:val="center"/>
              <w:rPr>
                <w:sz w:val="16"/>
                <w:szCs w:val="16"/>
                <w:lang w:val="en-US"/>
              </w:rPr>
            </w:pPr>
            <w:r w:rsidRPr="00C74E45">
              <w:rPr>
                <w:sz w:val="16"/>
                <w:szCs w:val="16"/>
                <w:lang w:val="en-US"/>
              </w:rPr>
              <w:t>565.2</w:t>
            </w:r>
          </w:p>
        </w:tc>
        <w:tc>
          <w:tcPr>
            <w:tcW w:w="850" w:type="dxa"/>
            <w:shd w:val="clear" w:color="auto" w:fill="auto"/>
            <w:vAlign w:val="center"/>
            <w:hideMark/>
          </w:tcPr>
          <w:p w:rsidR="00917B63" w:rsidRPr="00C74E45" w:rsidRDefault="00917B63" w:rsidP="00AF47B9">
            <w:pPr>
              <w:jc w:val="center"/>
              <w:rPr>
                <w:sz w:val="16"/>
                <w:szCs w:val="16"/>
                <w:lang w:val="en-US"/>
              </w:rPr>
            </w:pPr>
            <w:r w:rsidRPr="00C74E45">
              <w:rPr>
                <w:sz w:val="16"/>
                <w:szCs w:val="16"/>
                <w:lang w:val="en-US"/>
              </w:rPr>
              <w:t>532</w:t>
            </w:r>
          </w:p>
        </w:tc>
        <w:tc>
          <w:tcPr>
            <w:tcW w:w="993" w:type="dxa"/>
            <w:vAlign w:val="center"/>
          </w:tcPr>
          <w:p w:rsidR="00917B63" w:rsidRPr="00C74E45" w:rsidRDefault="00917B63" w:rsidP="00AF47B9">
            <w:pPr>
              <w:jc w:val="center"/>
              <w:rPr>
                <w:sz w:val="16"/>
                <w:szCs w:val="16"/>
                <w:lang w:val="en-US"/>
              </w:rPr>
            </w:pPr>
            <w:r w:rsidRPr="00C74E45">
              <w:rPr>
                <w:sz w:val="16"/>
                <w:szCs w:val="16"/>
                <w:lang w:val="en-US"/>
              </w:rPr>
              <w:t>107</w:t>
            </w:r>
          </w:p>
        </w:tc>
        <w:tc>
          <w:tcPr>
            <w:tcW w:w="3260" w:type="dxa"/>
          </w:tcPr>
          <w:p w:rsidR="00917B63" w:rsidRPr="00917B63" w:rsidRDefault="00917B63" w:rsidP="00917B63">
            <w:pPr>
              <w:rPr>
                <w:sz w:val="16"/>
                <w:szCs w:val="16"/>
                <w:lang w:val="en-US"/>
              </w:rPr>
            </w:pPr>
            <w:r w:rsidRPr="00917B63">
              <w:rPr>
                <w:sz w:val="16"/>
                <w:szCs w:val="16"/>
                <w:lang w:val="en-US"/>
              </w:rPr>
              <w:t>Increase due to the signed contract to invest in the construction of “</w:t>
            </w:r>
            <w:proofErr w:type="spellStart"/>
            <w:r w:rsidRPr="00917B63">
              <w:rPr>
                <w:sz w:val="16"/>
                <w:szCs w:val="16"/>
                <w:lang w:val="en-US"/>
              </w:rPr>
              <w:t>Akkent</w:t>
            </w:r>
            <w:proofErr w:type="spellEnd"/>
            <w:r w:rsidRPr="00917B63">
              <w:rPr>
                <w:sz w:val="16"/>
                <w:szCs w:val="16"/>
                <w:lang w:val="en-US"/>
              </w:rPr>
              <w:t>” RC (67.4 sq. m).</w:t>
            </w:r>
          </w:p>
        </w:tc>
      </w:tr>
      <w:tr w:rsidR="00917B63" w:rsidRPr="00B5391C" w:rsidTr="00CF5769">
        <w:trPr>
          <w:trHeight w:val="157"/>
        </w:trPr>
        <w:tc>
          <w:tcPr>
            <w:tcW w:w="2977" w:type="dxa"/>
            <w:shd w:val="clear" w:color="auto" w:fill="auto"/>
            <w:hideMark/>
          </w:tcPr>
          <w:p w:rsidR="00917B63" w:rsidRPr="00BF33CA" w:rsidRDefault="00917B63" w:rsidP="00770BC8">
            <w:pPr>
              <w:rPr>
                <w:sz w:val="16"/>
                <w:szCs w:val="16"/>
                <w:lang w:val="en-US"/>
              </w:rPr>
            </w:pPr>
            <w:r>
              <w:rPr>
                <w:sz w:val="16"/>
                <w:szCs w:val="16"/>
                <w:lang w:val="en-US"/>
              </w:rPr>
              <w:t>Real Estate realized under Anti-crisis program</w:t>
            </w:r>
          </w:p>
        </w:tc>
        <w:tc>
          <w:tcPr>
            <w:tcW w:w="851" w:type="dxa"/>
            <w:shd w:val="clear" w:color="auto" w:fill="auto"/>
            <w:vAlign w:val="center"/>
            <w:hideMark/>
          </w:tcPr>
          <w:p w:rsidR="00917B63" w:rsidRPr="00790474" w:rsidRDefault="00917B63" w:rsidP="00770BC8">
            <w:pPr>
              <w:jc w:val="center"/>
              <w:rPr>
                <w:color w:val="000000"/>
                <w:sz w:val="16"/>
                <w:szCs w:val="16"/>
                <w:lang w:val="en-US"/>
              </w:rPr>
            </w:pPr>
            <w:r>
              <w:rPr>
                <w:color w:val="000000"/>
                <w:sz w:val="16"/>
                <w:szCs w:val="16"/>
                <w:lang w:val="en-US"/>
              </w:rPr>
              <w:t>%</w:t>
            </w:r>
          </w:p>
        </w:tc>
        <w:tc>
          <w:tcPr>
            <w:tcW w:w="992" w:type="dxa"/>
            <w:shd w:val="clear" w:color="auto" w:fill="auto"/>
            <w:noWrap/>
            <w:vAlign w:val="center"/>
            <w:hideMark/>
          </w:tcPr>
          <w:p w:rsidR="00917B63" w:rsidRPr="00917B63" w:rsidRDefault="00917B63" w:rsidP="00AF47B9">
            <w:pPr>
              <w:jc w:val="center"/>
              <w:rPr>
                <w:sz w:val="16"/>
                <w:szCs w:val="16"/>
                <w:lang w:val="en-US"/>
              </w:rPr>
            </w:pPr>
            <w:r w:rsidRPr="00C74E45">
              <w:rPr>
                <w:sz w:val="16"/>
                <w:szCs w:val="16"/>
                <w:lang w:val="en-US"/>
              </w:rPr>
              <w:t>82.1</w:t>
            </w:r>
          </w:p>
        </w:tc>
        <w:tc>
          <w:tcPr>
            <w:tcW w:w="850" w:type="dxa"/>
            <w:shd w:val="clear" w:color="auto" w:fill="auto"/>
            <w:noWrap/>
            <w:vAlign w:val="center"/>
            <w:hideMark/>
          </w:tcPr>
          <w:p w:rsidR="00917B63" w:rsidRPr="00917B63" w:rsidRDefault="00917B63" w:rsidP="00AF47B9">
            <w:pPr>
              <w:jc w:val="center"/>
              <w:rPr>
                <w:sz w:val="16"/>
                <w:szCs w:val="16"/>
                <w:lang w:val="en-US"/>
              </w:rPr>
            </w:pPr>
            <w:r w:rsidRPr="00C74E45">
              <w:rPr>
                <w:sz w:val="16"/>
                <w:szCs w:val="16"/>
                <w:lang w:val="en-US"/>
              </w:rPr>
              <w:t>62</w:t>
            </w:r>
          </w:p>
        </w:tc>
        <w:tc>
          <w:tcPr>
            <w:tcW w:w="993" w:type="dxa"/>
            <w:vAlign w:val="center"/>
          </w:tcPr>
          <w:p w:rsidR="00917B63" w:rsidRPr="00917B63" w:rsidRDefault="00917B63" w:rsidP="00AF47B9">
            <w:pPr>
              <w:jc w:val="center"/>
              <w:rPr>
                <w:sz w:val="16"/>
                <w:szCs w:val="16"/>
                <w:lang w:val="en-US"/>
              </w:rPr>
            </w:pPr>
            <w:r w:rsidRPr="00C74E45">
              <w:rPr>
                <w:sz w:val="16"/>
                <w:szCs w:val="16"/>
                <w:lang w:val="en-US"/>
              </w:rPr>
              <w:t>133</w:t>
            </w:r>
          </w:p>
        </w:tc>
        <w:tc>
          <w:tcPr>
            <w:tcW w:w="3260" w:type="dxa"/>
          </w:tcPr>
          <w:p w:rsidR="00917B63" w:rsidRPr="00917B63" w:rsidRDefault="00917B63" w:rsidP="00917B63">
            <w:pPr>
              <w:rPr>
                <w:sz w:val="16"/>
                <w:szCs w:val="16"/>
                <w:lang w:val="en-US"/>
              </w:rPr>
            </w:pPr>
            <w:r w:rsidRPr="00917B63">
              <w:rPr>
                <w:sz w:val="16"/>
                <w:szCs w:val="16"/>
                <w:lang w:val="en-US"/>
              </w:rPr>
              <w:t>Due to the commissioning and implementation of large parts of facilities (“On the water-green boulevard” RC, “Urban Romance” RC, etc.)</w:t>
            </w:r>
          </w:p>
        </w:tc>
      </w:tr>
      <w:tr w:rsidR="00917B63" w:rsidRPr="00353DB4" w:rsidTr="00CF5769">
        <w:trPr>
          <w:trHeight w:val="157"/>
        </w:trPr>
        <w:tc>
          <w:tcPr>
            <w:tcW w:w="2977" w:type="dxa"/>
            <w:shd w:val="clear" w:color="auto" w:fill="auto"/>
          </w:tcPr>
          <w:p w:rsidR="00917B63" w:rsidRPr="00790474" w:rsidRDefault="00917B63" w:rsidP="00770BC8">
            <w:pPr>
              <w:rPr>
                <w:sz w:val="16"/>
                <w:szCs w:val="16"/>
                <w:lang w:val="en-US"/>
              </w:rPr>
            </w:pPr>
            <w:r w:rsidRPr="00790474">
              <w:rPr>
                <w:sz w:val="16"/>
                <w:szCs w:val="16"/>
                <w:lang w:val="en-US"/>
              </w:rPr>
              <w:t xml:space="preserve">Local Content </w:t>
            </w:r>
            <w:r>
              <w:rPr>
                <w:sz w:val="16"/>
                <w:szCs w:val="16"/>
                <w:lang w:val="en-US"/>
              </w:rPr>
              <w:t xml:space="preserve">of the </w:t>
            </w:r>
            <w:r w:rsidRPr="00790474">
              <w:rPr>
                <w:sz w:val="16"/>
                <w:szCs w:val="16"/>
                <w:lang w:val="en-US"/>
              </w:rPr>
              <w:t>Developers</w:t>
            </w:r>
          </w:p>
        </w:tc>
        <w:tc>
          <w:tcPr>
            <w:tcW w:w="851" w:type="dxa"/>
            <w:shd w:val="clear" w:color="auto" w:fill="auto"/>
            <w:vAlign w:val="center"/>
          </w:tcPr>
          <w:p w:rsidR="00917B63" w:rsidRPr="00FB7A56" w:rsidRDefault="00917B63" w:rsidP="00770BC8">
            <w:pPr>
              <w:jc w:val="center"/>
              <w:rPr>
                <w:color w:val="000000"/>
                <w:sz w:val="16"/>
                <w:szCs w:val="16"/>
              </w:rPr>
            </w:pPr>
            <w:r w:rsidRPr="00FB7A56">
              <w:rPr>
                <w:color w:val="000000"/>
                <w:sz w:val="16"/>
                <w:szCs w:val="16"/>
              </w:rPr>
              <w:t>%</w:t>
            </w:r>
          </w:p>
        </w:tc>
        <w:tc>
          <w:tcPr>
            <w:tcW w:w="992" w:type="dxa"/>
            <w:shd w:val="clear" w:color="auto" w:fill="auto"/>
            <w:noWrap/>
            <w:vAlign w:val="center"/>
          </w:tcPr>
          <w:p w:rsidR="00917B63" w:rsidRPr="00C74E45" w:rsidRDefault="00917B63" w:rsidP="00AF47B9">
            <w:pPr>
              <w:jc w:val="center"/>
              <w:rPr>
                <w:sz w:val="16"/>
                <w:szCs w:val="16"/>
                <w:lang w:val="kk-KZ"/>
              </w:rPr>
            </w:pPr>
            <w:r w:rsidRPr="00C74E45">
              <w:rPr>
                <w:sz w:val="16"/>
                <w:szCs w:val="16"/>
                <w:lang w:val="kk-KZ"/>
              </w:rPr>
              <w:t>74</w:t>
            </w:r>
          </w:p>
        </w:tc>
        <w:tc>
          <w:tcPr>
            <w:tcW w:w="850" w:type="dxa"/>
            <w:shd w:val="clear" w:color="auto" w:fill="auto"/>
            <w:noWrap/>
            <w:vAlign w:val="center"/>
          </w:tcPr>
          <w:p w:rsidR="00917B63" w:rsidRPr="00C74E45" w:rsidRDefault="00917B63" w:rsidP="00AF47B9">
            <w:pPr>
              <w:jc w:val="center"/>
              <w:rPr>
                <w:sz w:val="16"/>
                <w:szCs w:val="16"/>
                <w:lang w:val="kk-KZ"/>
              </w:rPr>
            </w:pPr>
            <w:r w:rsidRPr="00C74E45">
              <w:rPr>
                <w:sz w:val="16"/>
                <w:szCs w:val="16"/>
                <w:lang w:val="kk-KZ"/>
              </w:rPr>
              <w:t>62</w:t>
            </w:r>
          </w:p>
        </w:tc>
        <w:tc>
          <w:tcPr>
            <w:tcW w:w="993" w:type="dxa"/>
            <w:vAlign w:val="center"/>
          </w:tcPr>
          <w:p w:rsidR="00917B63" w:rsidRPr="00C74E45" w:rsidRDefault="00917B63" w:rsidP="00AF47B9">
            <w:pPr>
              <w:jc w:val="center"/>
              <w:rPr>
                <w:sz w:val="16"/>
                <w:szCs w:val="16"/>
              </w:rPr>
            </w:pPr>
            <w:r w:rsidRPr="00C74E45">
              <w:rPr>
                <w:sz w:val="16"/>
                <w:szCs w:val="16"/>
              </w:rPr>
              <w:t>120</w:t>
            </w:r>
          </w:p>
        </w:tc>
        <w:tc>
          <w:tcPr>
            <w:tcW w:w="3260" w:type="dxa"/>
          </w:tcPr>
          <w:p w:rsidR="00917B63" w:rsidRPr="00917B63" w:rsidRDefault="00917B63" w:rsidP="00AF47B9">
            <w:pPr>
              <w:rPr>
                <w:sz w:val="16"/>
                <w:szCs w:val="16"/>
                <w:lang w:val="en-US"/>
              </w:rPr>
            </w:pPr>
            <w:r w:rsidRPr="00917B63">
              <w:rPr>
                <w:sz w:val="16"/>
                <w:szCs w:val="16"/>
                <w:lang w:val="en-US"/>
              </w:rPr>
              <w:t>Related to the change of stages and types of construction works on individual projects under construction</w:t>
            </w:r>
          </w:p>
        </w:tc>
      </w:tr>
      <w:tr w:rsidR="00FB3CA1" w:rsidRPr="00353DB4" w:rsidTr="00CF5769">
        <w:trPr>
          <w:trHeight w:val="157"/>
        </w:trPr>
        <w:tc>
          <w:tcPr>
            <w:tcW w:w="2977" w:type="dxa"/>
            <w:shd w:val="clear" w:color="auto" w:fill="auto"/>
          </w:tcPr>
          <w:p w:rsidR="00FB3CA1" w:rsidRPr="00790474" w:rsidRDefault="00FB3CA1" w:rsidP="00476E76">
            <w:pPr>
              <w:rPr>
                <w:sz w:val="16"/>
                <w:szCs w:val="16"/>
                <w:lang w:val="en-US"/>
              </w:rPr>
            </w:pPr>
            <w:r>
              <w:rPr>
                <w:sz w:val="16"/>
                <w:szCs w:val="16"/>
                <w:lang w:val="en-US"/>
              </w:rPr>
              <w:t>T</w:t>
            </w:r>
            <w:r w:rsidRPr="00790474">
              <w:rPr>
                <w:sz w:val="16"/>
                <w:szCs w:val="16"/>
                <w:lang w:val="en-US"/>
              </w:rPr>
              <w:t>otal amount of funds allocated to the development of entrepreneurship prog</w:t>
            </w:r>
            <w:r>
              <w:rPr>
                <w:sz w:val="16"/>
                <w:szCs w:val="16"/>
                <w:lang w:val="en-US"/>
              </w:rPr>
              <w:t>rams at the expense of “</w:t>
            </w:r>
            <w:proofErr w:type="spellStart"/>
            <w:r w:rsidRPr="00790474">
              <w:rPr>
                <w:sz w:val="16"/>
                <w:szCs w:val="16"/>
                <w:lang w:val="en-US"/>
              </w:rPr>
              <w:t>Damu</w:t>
            </w:r>
            <w:proofErr w:type="spellEnd"/>
            <w:r>
              <w:rPr>
                <w:sz w:val="16"/>
                <w:szCs w:val="16"/>
                <w:lang w:val="en-US"/>
              </w:rPr>
              <w:t>” Fund</w:t>
            </w:r>
          </w:p>
        </w:tc>
        <w:tc>
          <w:tcPr>
            <w:tcW w:w="851" w:type="dxa"/>
            <w:shd w:val="clear" w:color="auto" w:fill="auto"/>
            <w:vAlign w:val="center"/>
          </w:tcPr>
          <w:p w:rsidR="00FB3CA1" w:rsidRPr="00FB7A56" w:rsidRDefault="00FB3CA1" w:rsidP="00770BC8">
            <w:pPr>
              <w:jc w:val="center"/>
              <w:rPr>
                <w:color w:val="000000"/>
                <w:sz w:val="16"/>
                <w:szCs w:val="16"/>
              </w:rPr>
            </w:pPr>
            <w:r>
              <w:rPr>
                <w:sz w:val="16"/>
                <w:szCs w:val="16"/>
                <w:lang w:val="en-US"/>
              </w:rPr>
              <w:t>Billion KZT</w:t>
            </w:r>
          </w:p>
        </w:tc>
        <w:tc>
          <w:tcPr>
            <w:tcW w:w="992" w:type="dxa"/>
            <w:shd w:val="clear" w:color="auto" w:fill="auto"/>
            <w:noWrap/>
            <w:vAlign w:val="center"/>
          </w:tcPr>
          <w:p w:rsidR="00FB3CA1" w:rsidRPr="00C74E45" w:rsidRDefault="00FB3CA1" w:rsidP="00AF47B9">
            <w:pPr>
              <w:jc w:val="center"/>
              <w:rPr>
                <w:sz w:val="16"/>
                <w:szCs w:val="16"/>
              </w:rPr>
            </w:pPr>
            <w:r w:rsidRPr="00C74E45">
              <w:rPr>
                <w:sz w:val="16"/>
                <w:szCs w:val="16"/>
              </w:rPr>
              <w:t>744,9</w:t>
            </w:r>
          </w:p>
        </w:tc>
        <w:tc>
          <w:tcPr>
            <w:tcW w:w="850" w:type="dxa"/>
            <w:shd w:val="clear" w:color="auto" w:fill="auto"/>
            <w:noWrap/>
            <w:vAlign w:val="center"/>
          </w:tcPr>
          <w:p w:rsidR="00FB3CA1" w:rsidRPr="00C74E45" w:rsidRDefault="00FB3CA1" w:rsidP="00AF47B9">
            <w:pPr>
              <w:jc w:val="center"/>
              <w:rPr>
                <w:sz w:val="16"/>
                <w:szCs w:val="16"/>
              </w:rPr>
            </w:pPr>
            <w:r w:rsidRPr="00C74E45">
              <w:rPr>
                <w:sz w:val="16"/>
                <w:szCs w:val="16"/>
              </w:rPr>
              <w:t>589,2</w:t>
            </w:r>
          </w:p>
        </w:tc>
        <w:tc>
          <w:tcPr>
            <w:tcW w:w="993" w:type="dxa"/>
            <w:vAlign w:val="center"/>
          </w:tcPr>
          <w:p w:rsidR="00FB3CA1" w:rsidRPr="00C74E45" w:rsidRDefault="00FB3CA1" w:rsidP="00AF47B9">
            <w:pPr>
              <w:jc w:val="center"/>
              <w:rPr>
                <w:sz w:val="16"/>
                <w:szCs w:val="16"/>
              </w:rPr>
            </w:pPr>
            <w:r w:rsidRPr="00C74E45">
              <w:rPr>
                <w:sz w:val="16"/>
                <w:szCs w:val="16"/>
              </w:rPr>
              <w:t>126</w:t>
            </w:r>
          </w:p>
        </w:tc>
        <w:tc>
          <w:tcPr>
            <w:tcW w:w="3260" w:type="dxa"/>
          </w:tcPr>
          <w:p w:rsidR="00FB3CA1" w:rsidRPr="00A6693A" w:rsidRDefault="00FB3CA1" w:rsidP="00917B63">
            <w:pPr>
              <w:rPr>
                <w:sz w:val="16"/>
                <w:szCs w:val="16"/>
                <w:lang w:val="en-US"/>
              </w:rPr>
            </w:pPr>
            <w:r>
              <w:rPr>
                <w:sz w:val="16"/>
                <w:szCs w:val="16"/>
                <w:lang w:val="en-US"/>
              </w:rPr>
              <w:t>I</w:t>
            </w:r>
            <w:r w:rsidRPr="00A6693A">
              <w:rPr>
                <w:sz w:val="16"/>
                <w:szCs w:val="16"/>
                <w:lang w:val="en-US"/>
              </w:rPr>
              <w:t xml:space="preserve">ncrease </w:t>
            </w:r>
            <w:r w:rsidR="00917B63">
              <w:rPr>
                <w:sz w:val="16"/>
                <w:szCs w:val="16"/>
                <w:lang w:val="en-US"/>
              </w:rPr>
              <w:t xml:space="preserve">of this indicator compared to the same period of 2011 by 26% </w:t>
            </w:r>
            <w:r w:rsidRPr="00A6693A">
              <w:rPr>
                <w:sz w:val="16"/>
                <w:szCs w:val="16"/>
                <w:lang w:val="en-US"/>
              </w:rPr>
              <w:t>is due to the</w:t>
            </w:r>
            <w:r>
              <w:rPr>
                <w:sz w:val="16"/>
                <w:szCs w:val="16"/>
                <w:lang w:val="en-US"/>
              </w:rPr>
              <w:t xml:space="preserve"> </w:t>
            </w:r>
            <w:r w:rsidR="00917B63">
              <w:rPr>
                <w:sz w:val="16"/>
                <w:szCs w:val="16"/>
                <w:lang w:val="en-US"/>
              </w:rPr>
              <w:t>increase in borrowers under</w:t>
            </w:r>
            <w:r>
              <w:rPr>
                <w:sz w:val="16"/>
                <w:szCs w:val="16"/>
                <w:lang w:val="en-US"/>
              </w:rPr>
              <w:t xml:space="preserve"> the program “BRM</w:t>
            </w:r>
            <w:r w:rsidRPr="00A6693A">
              <w:rPr>
                <w:sz w:val="16"/>
                <w:szCs w:val="16"/>
                <w:lang w:val="en-US"/>
              </w:rPr>
              <w:t>-2020</w:t>
            </w:r>
            <w:r>
              <w:rPr>
                <w:sz w:val="16"/>
                <w:szCs w:val="16"/>
                <w:lang w:val="en-US"/>
              </w:rPr>
              <w:t>”</w:t>
            </w:r>
            <w:r w:rsidR="00917B63">
              <w:rPr>
                <w:sz w:val="16"/>
                <w:szCs w:val="16"/>
                <w:lang w:val="en-US"/>
              </w:rPr>
              <w:t xml:space="preserve"> </w:t>
            </w:r>
          </w:p>
        </w:tc>
      </w:tr>
      <w:tr w:rsidR="00B033C6" w:rsidRPr="00353DB4" w:rsidTr="00CF5769">
        <w:trPr>
          <w:trHeight w:val="157"/>
        </w:trPr>
        <w:tc>
          <w:tcPr>
            <w:tcW w:w="2977" w:type="dxa"/>
            <w:shd w:val="clear" w:color="auto" w:fill="auto"/>
          </w:tcPr>
          <w:p w:rsidR="00B033C6" w:rsidRPr="00790474" w:rsidRDefault="00B033C6" w:rsidP="00770BC8">
            <w:pPr>
              <w:rPr>
                <w:sz w:val="16"/>
                <w:szCs w:val="16"/>
                <w:lang w:val="en-US"/>
              </w:rPr>
            </w:pPr>
            <w:r w:rsidRPr="00790474">
              <w:rPr>
                <w:sz w:val="16"/>
                <w:szCs w:val="16"/>
                <w:lang w:val="en-US"/>
              </w:rPr>
              <w:t xml:space="preserve">Number of projects </w:t>
            </w:r>
            <w:r>
              <w:rPr>
                <w:sz w:val="16"/>
                <w:szCs w:val="16"/>
                <w:lang w:val="en-US"/>
              </w:rPr>
              <w:t>of MPE</w:t>
            </w:r>
            <w:r w:rsidRPr="00790474">
              <w:rPr>
                <w:sz w:val="16"/>
                <w:szCs w:val="16"/>
                <w:lang w:val="en-US"/>
              </w:rPr>
              <w:t xml:space="preserve"> </w:t>
            </w:r>
            <w:r>
              <w:rPr>
                <w:sz w:val="16"/>
                <w:szCs w:val="16"/>
                <w:lang w:val="en-US"/>
              </w:rPr>
              <w:t>covered by</w:t>
            </w:r>
            <w:r w:rsidRPr="00790474">
              <w:rPr>
                <w:sz w:val="16"/>
                <w:szCs w:val="16"/>
                <w:lang w:val="en-US"/>
              </w:rPr>
              <w:t xml:space="preserve"> the Fund</w:t>
            </w:r>
            <w:r>
              <w:rPr>
                <w:sz w:val="16"/>
                <w:szCs w:val="16"/>
                <w:lang w:val="en-US"/>
              </w:rPr>
              <w:t>’s programs</w:t>
            </w:r>
          </w:p>
        </w:tc>
        <w:tc>
          <w:tcPr>
            <w:tcW w:w="851" w:type="dxa"/>
            <w:shd w:val="clear" w:color="auto" w:fill="auto"/>
            <w:vAlign w:val="center"/>
          </w:tcPr>
          <w:p w:rsidR="00B033C6" w:rsidRPr="00790474" w:rsidRDefault="00B033C6" w:rsidP="00770BC8">
            <w:pPr>
              <w:jc w:val="center"/>
              <w:rPr>
                <w:color w:val="000000"/>
                <w:sz w:val="16"/>
                <w:szCs w:val="16"/>
                <w:lang w:val="en-US"/>
              </w:rPr>
            </w:pPr>
            <w:r>
              <w:rPr>
                <w:color w:val="000000"/>
                <w:sz w:val="16"/>
                <w:szCs w:val="16"/>
                <w:lang w:val="en-US"/>
              </w:rPr>
              <w:t>units</w:t>
            </w:r>
          </w:p>
        </w:tc>
        <w:tc>
          <w:tcPr>
            <w:tcW w:w="992" w:type="dxa"/>
            <w:shd w:val="clear" w:color="auto" w:fill="auto"/>
            <w:noWrap/>
            <w:vAlign w:val="center"/>
          </w:tcPr>
          <w:p w:rsidR="00B033C6" w:rsidRPr="00C74E45" w:rsidRDefault="00B033C6" w:rsidP="00AF47B9">
            <w:pPr>
              <w:jc w:val="center"/>
              <w:rPr>
                <w:sz w:val="16"/>
                <w:szCs w:val="16"/>
              </w:rPr>
            </w:pPr>
            <w:r w:rsidRPr="00C74E45">
              <w:rPr>
                <w:sz w:val="16"/>
                <w:szCs w:val="16"/>
              </w:rPr>
              <w:t>14</w:t>
            </w:r>
            <w:r w:rsidR="00CD6A66">
              <w:rPr>
                <w:sz w:val="16"/>
                <w:szCs w:val="16"/>
                <w:lang w:val="en-US"/>
              </w:rPr>
              <w:t xml:space="preserve"> </w:t>
            </w:r>
            <w:r w:rsidRPr="00C74E45">
              <w:rPr>
                <w:sz w:val="16"/>
                <w:szCs w:val="16"/>
              </w:rPr>
              <w:t>151</w:t>
            </w:r>
          </w:p>
        </w:tc>
        <w:tc>
          <w:tcPr>
            <w:tcW w:w="850" w:type="dxa"/>
            <w:shd w:val="clear" w:color="auto" w:fill="auto"/>
            <w:noWrap/>
            <w:vAlign w:val="center"/>
          </w:tcPr>
          <w:p w:rsidR="00B033C6" w:rsidRPr="00C74E45" w:rsidRDefault="00B033C6" w:rsidP="00AF47B9">
            <w:pPr>
              <w:jc w:val="center"/>
              <w:rPr>
                <w:sz w:val="16"/>
                <w:szCs w:val="16"/>
              </w:rPr>
            </w:pPr>
            <w:r w:rsidRPr="00C74E45">
              <w:rPr>
                <w:sz w:val="16"/>
                <w:szCs w:val="16"/>
              </w:rPr>
              <w:t>11</w:t>
            </w:r>
            <w:r w:rsidR="00CD6A66">
              <w:rPr>
                <w:sz w:val="16"/>
                <w:szCs w:val="16"/>
                <w:lang w:val="en-US"/>
              </w:rPr>
              <w:t xml:space="preserve"> </w:t>
            </w:r>
            <w:r w:rsidRPr="00C74E45">
              <w:rPr>
                <w:sz w:val="16"/>
                <w:szCs w:val="16"/>
              </w:rPr>
              <w:t>935</w:t>
            </w:r>
          </w:p>
        </w:tc>
        <w:tc>
          <w:tcPr>
            <w:tcW w:w="993" w:type="dxa"/>
            <w:vAlign w:val="center"/>
          </w:tcPr>
          <w:p w:rsidR="00B033C6" w:rsidRPr="00C74E45" w:rsidRDefault="00B033C6" w:rsidP="00AF47B9">
            <w:pPr>
              <w:jc w:val="center"/>
              <w:rPr>
                <w:sz w:val="16"/>
                <w:szCs w:val="16"/>
              </w:rPr>
            </w:pPr>
            <w:r w:rsidRPr="00C74E45">
              <w:rPr>
                <w:sz w:val="16"/>
                <w:szCs w:val="16"/>
              </w:rPr>
              <w:t>119</w:t>
            </w:r>
          </w:p>
        </w:tc>
        <w:tc>
          <w:tcPr>
            <w:tcW w:w="3260" w:type="dxa"/>
          </w:tcPr>
          <w:p w:rsidR="00B033C6" w:rsidRPr="00A6693A" w:rsidRDefault="00B033C6" w:rsidP="00B033C6">
            <w:pPr>
              <w:rPr>
                <w:sz w:val="16"/>
                <w:szCs w:val="16"/>
                <w:lang w:val="en-US"/>
              </w:rPr>
            </w:pPr>
            <w:r>
              <w:rPr>
                <w:sz w:val="16"/>
                <w:szCs w:val="16"/>
                <w:lang w:val="en-US"/>
              </w:rPr>
              <w:t>I</w:t>
            </w:r>
            <w:r w:rsidRPr="00A6693A">
              <w:rPr>
                <w:sz w:val="16"/>
                <w:szCs w:val="16"/>
                <w:lang w:val="en-US"/>
              </w:rPr>
              <w:t xml:space="preserve">ncrease is due to </w:t>
            </w:r>
            <w:r>
              <w:rPr>
                <w:sz w:val="16"/>
                <w:szCs w:val="16"/>
                <w:lang w:val="en-US"/>
              </w:rPr>
              <w:t>affordable conditions for the  borrowers under the program “BRM</w:t>
            </w:r>
            <w:r w:rsidRPr="00A6693A">
              <w:rPr>
                <w:sz w:val="16"/>
                <w:szCs w:val="16"/>
                <w:lang w:val="en-US"/>
              </w:rPr>
              <w:t>-2020</w:t>
            </w:r>
            <w:r>
              <w:rPr>
                <w:sz w:val="16"/>
                <w:szCs w:val="16"/>
                <w:lang w:val="en-US"/>
              </w:rPr>
              <w:t xml:space="preserve">” </w:t>
            </w:r>
          </w:p>
        </w:tc>
      </w:tr>
    </w:tbl>
    <w:p w:rsidR="002664E4" w:rsidRPr="00E35345"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p>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sidRPr="00BA12BE">
        <w:rPr>
          <w:rStyle w:val="apple-style-span"/>
          <w:sz w:val="22"/>
          <w:szCs w:val="22"/>
          <w:shd w:val="clear" w:color="auto" w:fill="FFFFFF"/>
          <w:lang w:val="en-US"/>
        </w:rPr>
        <w:t xml:space="preserve">Below </w:t>
      </w:r>
      <w:r>
        <w:rPr>
          <w:rStyle w:val="apple-style-span"/>
          <w:sz w:val="22"/>
          <w:szCs w:val="22"/>
          <w:shd w:val="clear" w:color="auto" w:fill="FFFFFF"/>
          <w:lang w:val="en-US"/>
        </w:rPr>
        <w:t>are</w:t>
      </w:r>
      <w:r w:rsidRPr="00BA12BE">
        <w:rPr>
          <w:rStyle w:val="apple-style-span"/>
          <w:sz w:val="22"/>
          <w:szCs w:val="22"/>
          <w:shd w:val="clear" w:color="auto" w:fill="FFFFFF"/>
          <w:lang w:val="en-US"/>
        </w:rPr>
        <w:t xml:space="preserve"> </w:t>
      </w:r>
      <w:r>
        <w:rPr>
          <w:rStyle w:val="apple-style-span"/>
          <w:sz w:val="22"/>
          <w:szCs w:val="22"/>
          <w:shd w:val="clear" w:color="auto" w:fill="FFFFFF"/>
          <w:lang w:val="en-US"/>
        </w:rPr>
        <w:t xml:space="preserve">given </w:t>
      </w:r>
      <w:r w:rsidRPr="00BA12BE">
        <w:rPr>
          <w:rStyle w:val="apple-style-span"/>
          <w:sz w:val="22"/>
          <w:szCs w:val="22"/>
          <w:shd w:val="clear" w:color="auto" w:fill="FFFFFF"/>
          <w:lang w:val="en-US"/>
        </w:rPr>
        <w:t>the influence of the results of the production activities of large organizations</w:t>
      </w:r>
      <w:r>
        <w:rPr>
          <w:rStyle w:val="apple-style-span"/>
          <w:sz w:val="22"/>
          <w:szCs w:val="22"/>
          <w:shd w:val="clear" w:color="auto" w:fill="FFFFFF"/>
          <w:lang w:val="en-US"/>
        </w:rPr>
        <w:t xml:space="preserve"> of</w:t>
      </w:r>
      <w:r w:rsidRPr="00BA12BE">
        <w:rPr>
          <w:rStyle w:val="apple-style-span"/>
          <w:sz w:val="22"/>
          <w:szCs w:val="22"/>
          <w:shd w:val="clear" w:color="auto" w:fill="FFFFFF"/>
          <w:lang w:val="en-US"/>
        </w:rPr>
        <w:t xml:space="preserve"> the Fund included in this segment</w:t>
      </w:r>
      <w:r w:rsidR="008915A2">
        <w:rPr>
          <w:rStyle w:val="apple-style-span"/>
          <w:sz w:val="22"/>
          <w:szCs w:val="22"/>
          <w:shd w:val="clear" w:color="auto" w:fill="FFFFFF"/>
          <w:lang w:val="en-US"/>
        </w:rPr>
        <w:t xml:space="preserve"> on the financial result</w:t>
      </w:r>
      <w:r w:rsidRPr="00BA12BE">
        <w:rPr>
          <w:rStyle w:val="apple-style-span"/>
          <w:sz w:val="22"/>
          <w:szCs w:val="22"/>
          <w:shd w:val="clear" w:color="auto" w:fill="FFFFFF"/>
          <w:lang w:val="en-US"/>
        </w:rPr>
        <w:t>.</w:t>
      </w:r>
    </w:p>
    <w:p w:rsidR="00745AD7" w:rsidRPr="00BA12BE" w:rsidRDefault="00745AD7" w:rsidP="002664E4">
      <w:pPr>
        <w:tabs>
          <w:tab w:val="left" w:pos="426"/>
        </w:tabs>
        <w:autoSpaceDE w:val="0"/>
        <w:autoSpaceDN w:val="0"/>
        <w:adjustRightInd w:val="0"/>
        <w:ind w:left="-709" w:firstLine="709"/>
        <w:jc w:val="both"/>
        <w:rPr>
          <w:rStyle w:val="apple-style-span"/>
          <w:b/>
          <w:sz w:val="22"/>
          <w:szCs w:val="22"/>
          <w:shd w:val="clear" w:color="auto" w:fill="FFFFFF"/>
          <w:lang w:val="en-US"/>
        </w:rPr>
      </w:pPr>
    </w:p>
    <w:tbl>
      <w:tblPr>
        <w:tblW w:w="988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1418"/>
      </w:tblGrid>
      <w:tr w:rsidR="002664E4" w:rsidTr="00CF5769">
        <w:trPr>
          <w:trHeight w:val="367"/>
        </w:trPr>
        <w:tc>
          <w:tcPr>
            <w:tcW w:w="8469" w:type="dxa"/>
            <w:shd w:val="clear" w:color="auto" w:fill="auto"/>
            <w:vAlign w:val="center"/>
            <w:hideMark/>
          </w:tcPr>
          <w:p w:rsidR="002664E4" w:rsidRPr="000239FF" w:rsidRDefault="002664E4" w:rsidP="00770BC8">
            <w:pPr>
              <w:jc w:val="center"/>
              <w:rPr>
                <w:b/>
                <w:bCs/>
                <w:color w:val="000000"/>
                <w:sz w:val="18"/>
                <w:szCs w:val="18"/>
              </w:rPr>
            </w:pPr>
            <w:r>
              <w:rPr>
                <w:b/>
                <w:bCs/>
                <w:color w:val="000000"/>
                <w:sz w:val="18"/>
                <w:szCs w:val="18"/>
                <w:lang w:val="en-US"/>
              </w:rPr>
              <w:lastRenderedPageBreak/>
              <w:t>Factors</w:t>
            </w:r>
            <w:r w:rsidRPr="000239FF">
              <w:rPr>
                <w:b/>
                <w:bCs/>
                <w:color w:val="000000"/>
                <w:sz w:val="18"/>
                <w:szCs w:val="18"/>
              </w:rPr>
              <w:t> </w:t>
            </w:r>
          </w:p>
        </w:tc>
        <w:tc>
          <w:tcPr>
            <w:tcW w:w="1418" w:type="dxa"/>
            <w:vAlign w:val="center"/>
          </w:tcPr>
          <w:p w:rsidR="002664E4" w:rsidRPr="00BA12BE" w:rsidRDefault="002664E4" w:rsidP="00770BC8">
            <w:pPr>
              <w:jc w:val="center"/>
              <w:rPr>
                <w:b/>
                <w:bCs/>
                <w:color w:val="000000"/>
                <w:sz w:val="18"/>
                <w:szCs w:val="18"/>
                <w:lang w:val="en-US"/>
              </w:rPr>
            </w:pPr>
            <w:r>
              <w:rPr>
                <w:b/>
                <w:bCs/>
                <w:color w:val="000000"/>
                <w:sz w:val="18"/>
                <w:szCs w:val="18"/>
                <w:lang w:val="en-US"/>
              </w:rPr>
              <w:t xml:space="preserve">Changes, </w:t>
            </w:r>
            <w:r w:rsidR="000A43AE">
              <w:rPr>
                <w:b/>
                <w:bCs/>
                <w:color w:val="000000"/>
                <w:sz w:val="18"/>
                <w:szCs w:val="18"/>
                <w:lang w:val="en-US"/>
              </w:rPr>
              <w:t>billion</w:t>
            </w:r>
            <w:r>
              <w:rPr>
                <w:b/>
                <w:bCs/>
                <w:color w:val="000000"/>
                <w:sz w:val="18"/>
                <w:szCs w:val="18"/>
                <w:lang w:val="en-US"/>
              </w:rPr>
              <w:t xml:space="preserve"> KZT</w:t>
            </w:r>
          </w:p>
        </w:tc>
      </w:tr>
      <w:tr w:rsidR="00042306" w:rsidRPr="008915A2" w:rsidTr="00CF5769">
        <w:trPr>
          <w:trHeight w:val="401"/>
        </w:trPr>
        <w:tc>
          <w:tcPr>
            <w:tcW w:w="8469" w:type="dxa"/>
            <w:shd w:val="clear" w:color="auto" w:fill="auto"/>
            <w:vAlign w:val="center"/>
            <w:hideMark/>
          </w:tcPr>
          <w:p w:rsidR="00042306" w:rsidRPr="00BC658E" w:rsidRDefault="00042306" w:rsidP="008915A2">
            <w:pPr>
              <w:rPr>
                <w:b/>
                <w:color w:val="000000"/>
                <w:sz w:val="18"/>
                <w:szCs w:val="18"/>
                <w:lang w:val="en-US"/>
              </w:rPr>
            </w:pPr>
            <w:r>
              <w:rPr>
                <w:b/>
                <w:color w:val="000000"/>
                <w:sz w:val="18"/>
                <w:szCs w:val="18"/>
                <w:lang w:val="en-US"/>
              </w:rPr>
              <w:t>Net</w:t>
            </w:r>
            <w:r w:rsidRPr="00BC658E">
              <w:rPr>
                <w:b/>
                <w:color w:val="000000"/>
                <w:sz w:val="18"/>
                <w:szCs w:val="18"/>
                <w:lang w:val="en-US"/>
              </w:rPr>
              <w:t xml:space="preserve"> </w:t>
            </w:r>
            <w:r>
              <w:rPr>
                <w:b/>
                <w:color w:val="000000"/>
                <w:sz w:val="18"/>
                <w:szCs w:val="18"/>
                <w:lang w:val="en-US"/>
              </w:rPr>
              <w:t>loss</w:t>
            </w:r>
            <w:r w:rsidRPr="00BC658E">
              <w:rPr>
                <w:b/>
                <w:color w:val="000000"/>
                <w:sz w:val="18"/>
                <w:szCs w:val="18"/>
                <w:lang w:val="en-US"/>
              </w:rPr>
              <w:t xml:space="preserve"> (</w:t>
            </w:r>
            <w:r>
              <w:rPr>
                <w:b/>
                <w:color w:val="000000"/>
                <w:sz w:val="18"/>
                <w:szCs w:val="18"/>
                <w:lang w:val="en-US"/>
              </w:rPr>
              <w:t>KZT</w:t>
            </w:r>
            <w:r w:rsidRPr="00BC658E">
              <w:rPr>
                <w:b/>
                <w:color w:val="000000"/>
                <w:sz w:val="18"/>
                <w:szCs w:val="18"/>
                <w:lang w:val="en-US"/>
              </w:rPr>
              <w:t xml:space="preserve"> -</w:t>
            </w:r>
            <w:r>
              <w:rPr>
                <w:b/>
                <w:color w:val="000000"/>
                <w:sz w:val="18"/>
                <w:szCs w:val="18"/>
                <w:lang w:val="en-US"/>
              </w:rPr>
              <w:t>625.2</w:t>
            </w:r>
            <w:r w:rsidRPr="00BC658E">
              <w:rPr>
                <w:b/>
                <w:color w:val="000000"/>
                <w:sz w:val="18"/>
                <w:szCs w:val="18"/>
                <w:lang w:val="en-US"/>
              </w:rPr>
              <w:t xml:space="preserve"> </w:t>
            </w:r>
            <w:r>
              <w:rPr>
                <w:b/>
                <w:color w:val="000000"/>
                <w:sz w:val="18"/>
                <w:szCs w:val="18"/>
                <w:lang w:val="en-US"/>
              </w:rPr>
              <w:t>billion for</w:t>
            </w:r>
            <w:r w:rsidRPr="00BC658E">
              <w:rPr>
                <w:b/>
                <w:color w:val="000000"/>
                <w:sz w:val="18"/>
                <w:szCs w:val="18"/>
                <w:lang w:val="en-US"/>
              </w:rPr>
              <w:t xml:space="preserve"> </w:t>
            </w:r>
            <w:r>
              <w:rPr>
                <w:b/>
                <w:color w:val="000000"/>
                <w:sz w:val="18"/>
                <w:szCs w:val="18"/>
                <w:lang w:val="en-US"/>
              </w:rPr>
              <w:t>the period</w:t>
            </w:r>
            <w:r w:rsidRPr="00BC658E">
              <w:rPr>
                <w:b/>
                <w:color w:val="000000"/>
                <w:sz w:val="18"/>
                <w:szCs w:val="18"/>
                <w:lang w:val="en-US"/>
              </w:rPr>
              <w:t>;</w:t>
            </w:r>
            <w:r>
              <w:rPr>
                <w:b/>
                <w:color w:val="000000"/>
                <w:sz w:val="18"/>
                <w:szCs w:val="18"/>
                <w:lang w:val="en-US"/>
              </w:rPr>
              <w:t xml:space="preserve"> KZT</w:t>
            </w:r>
            <w:r w:rsidRPr="00BC658E">
              <w:rPr>
                <w:b/>
                <w:color w:val="000000"/>
                <w:sz w:val="18"/>
                <w:szCs w:val="18"/>
                <w:lang w:val="en-US"/>
              </w:rPr>
              <w:t xml:space="preserve"> -</w:t>
            </w:r>
            <w:r>
              <w:rPr>
                <w:b/>
                <w:color w:val="000000"/>
                <w:sz w:val="18"/>
                <w:szCs w:val="18"/>
                <w:lang w:val="en-US"/>
              </w:rPr>
              <w:t xml:space="preserve">114.6 </w:t>
            </w:r>
            <w:r w:rsidRPr="00BC658E">
              <w:rPr>
                <w:b/>
                <w:color w:val="000000"/>
                <w:sz w:val="18"/>
                <w:szCs w:val="18"/>
                <w:lang w:val="en-US"/>
              </w:rPr>
              <w:t xml:space="preserve"> </w:t>
            </w:r>
            <w:r>
              <w:rPr>
                <w:b/>
                <w:color w:val="000000"/>
                <w:sz w:val="18"/>
                <w:szCs w:val="18"/>
                <w:lang w:val="en-US"/>
              </w:rPr>
              <w:t>billion for the same period of 2011</w:t>
            </w:r>
            <w:r w:rsidRPr="00BC658E">
              <w:rPr>
                <w:b/>
                <w:color w:val="000000"/>
                <w:sz w:val="18"/>
                <w:szCs w:val="18"/>
                <w:lang w:val="en-US"/>
              </w:rPr>
              <w:t xml:space="preserve">) </w:t>
            </w:r>
          </w:p>
        </w:tc>
        <w:tc>
          <w:tcPr>
            <w:tcW w:w="1418" w:type="dxa"/>
            <w:vAlign w:val="center"/>
          </w:tcPr>
          <w:p w:rsidR="00042306" w:rsidRPr="00C74E45" w:rsidRDefault="00042306" w:rsidP="00AF47B9">
            <w:pPr>
              <w:jc w:val="center"/>
              <w:rPr>
                <w:b/>
                <w:bCs/>
                <w:sz w:val="18"/>
                <w:szCs w:val="18"/>
              </w:rPr>
            </w:pPr>
            <w:r w:rsidRPr="00C74E45">
              <w:rPr>
                <w:b/>
                <w:bCs/>
                <w:sz w:val="18"/>
                <w:szCs w:val="18"/>
              </w:rPr>
              <w:t>-</w:t>
            </w:r>
            <w:r w:rsidRPr="00C74E45">
              <w:rPr>
                <w:b/>
                <w:bCs/>
                <w:sz w:val="18"/>
                <w:szCs w:val="18"/>
                <w:lang w:val="en-US"/>
              </w:rPr>
              <w:t>510.</w:t>
            </w:r>
            <w:r w:rsidRPr="00C74E45">
              <w:rPr>
                <w:b/>
                <w:bCs/>
                <w:sz w:val="18"/>
                <w:szCs w:val="18"/>
              </w:rPr>
              <w:t>5</w:t>
            </w:r>
          </w:p>
        </w:tc>
      </w:tr>
      <w:tr w:rsidR="00042306" w:rsidTr="00CF5769">
        <w:trPr>
          <w:trHeight w:val="272"/>
        </w:trPr>
        <w:tc>
          <w:tcPr>
            <w:tcW w:w="8469" w:type="dxa"/>
            <w:shd w:val="clear" w:color="auto" w:fill="auto"/>
            <w:vAlign w:val="center"/>
            <w:hideMark/>
          </w:tcPr>
          <w:p w:rsidR="00042306" w:rsidRPr="00BC658E" w:rsidRDefault="00042306" w:rsidP="00770BC8">
            <w:pPr>
              <w:tabs>
                <w:tab w:val="left" w:pos="426"/>
              </w:tabs>
              <w:ind w:left="-709" w:firstLine="709"/>
              <w:rPr>
                <w:b/>
                <w:color w:val="000000"/>
                <w:sz w:val="18"/>
                <w:szCs w:val="18"/>
                <w:lang w:val="en-US"/>
              </w:rPr>
            </w:pPr>
            <w:r>
              <w:rPr>
                <w:b/>
                <w:color w:val="000000"/>
                <w:sz w:val="18"/>
                <w:szCs w:val="18"/>
                <w:lang w:val="en-US"/>
              </w:rPr>
              <w:t>C</w:t>
            </w:r>
            <w:r w:rsidRPr="00BC658E">
              <w:rPr>
                <w:b/>
                <w:color w:val="000000"/>
                <w:sz w:val="18"/>
                <w:szCs w:val="18"/>
                <w:lang w:val="en-US"/>
              </w:rPr>
              <w:t xml:space="preserve">hanges </w:t>
            </w:r>
            <w:r>
              <w:rPr>
                <w:b/>
                <w:color w:val="000000"/>
                <w:sz w:val="18"/>
                <w:szCs w:val="18"/>
                <w:lang w:val="en-US"/>
              </w:rPr>
              <w:t xml:space="preserve">on the core business </w:t>
            </w:r>
            <w:r w:rsidRPr="00BC658E">
              <w:rPr>
                <w:b/>
                <w:color w:val="000000"/>
                <w:sz w:val="18"/>
                <w:szCs w:val="18"/>
                <w:lang w:val="en-US"/>
              </w:rPr>
              <w:t>have taken place on the following factors:</w:t>
            </w:r>
          </w:p>
          <w:p w:rsidR="00042306" w:rsidRPr="008915A2" w:rsidRDefault="00042306" w:rsidP="00CD6A66">
            <w:pPr>
              <w:pStyle w:val="a3"/>
              <w:numPr>
                <w:ilvl w:val="0"/>
                <w:numId w:val="37"/>
              </w:numPr>
              <w:tabs>
                <w:tab w:val="left" w:pos="177"/>
              </w:tabs>
              <w:ind w:left="0" w:firstLine="35"/>
              <w:rPr>
                <w:color w:val="000000"/>
                <w:sz w:val="18"/>
                <w:szCs w:val="18"/>
                <w:lang w:val="en-US"/>
              </w:rPr>
            </w:pPr>
            <w:r w:rsidRPr="008915A2">
              <w:rPr>
                <w:color w:val="000000"/>
                <w:sz w:val="18"/>
                <w:szCs w:val="18"/>
                <w:lang w:val="en-US"/>
              </w:rPr>
              <w:t>Increase due to implementation of ready-made residential and commercial real estate and participation in construction,</w:t>
            </w:r>
          </w:p>
          <w:p w:rsidR="00042306" w:rsidRPr="008915A2" w:rsidRDefault="00042306" w:rsidP="00CD6A66">
            <w:pPr>
              <w:pStyle w:val="a3"/>
              <w:numPr>
                <w:ilvl w:val="0"/>
                <w:numId w:val="37"/>
              </w:numPr>
              <w:tabs>
                <w:tab w:val="left" w:pos="177"/>
              </w:tabs>
              <w:ind w:left="0" w:firstLine="35"/>
              <w:rPr>
                <w:color w:val="000000"/>
                <w:sz w:val="18"/>
                <w:szCs w:val="18"/>
                <w:lang w:val="en-US"/>
              </w:rPr>
            </w:pPr>
            <w:r w:rsidRPr="008915A2">
              <w:rPr>
                <w:color w:val="000000"/>
                <w:sz w:val="18"/>
                <w:szCs w:val="18"/>
                <w:lang w:val="en-US"/>
              </w:rPr>
              <w:t xml:space="preserve">Growth on </w:t>
            </w:r>
            <w:proofErr w:type="spellStart"/>
            <w:r w:rsidRPr="008915A2">
              <w:rPr>
                <w:color w:val="000000"/>
                <w:sz w:val="18"/>
                <w:szCs w:val="18"/>
                <w:lang w:val="en-US"/>
              </w:rPr>
              <w:t>Damu</w:t>
            </w:r>
            <w:proofErr w:type="spellEnd"/>
            <w:r w:rsidRPr="008915A2">
              <w:rPr>
                <w:color w:val="000000"/>
                <w:sz w:val="18"/>
                <w:szCs w:val="18"/>
                <w:lang w:val="en-US"/>
              </w:rPr>
              <w:t xml:space="preserve"> through restoration of reserves for credit related commitments;</w:t>
            </w:r>
          </w:p>
          <w:p w:rsidR="00042306" w:rsidRPr="008915A2" w:rsidRDefault="00042306" w:rsidP="00CD6A66">
            <w:pPr>
              <w:pStyle w:val="a3"/>
              <w:numPr>
                <w:ilvl w:val="0"/>
                <w:numId w:val="37"/>
              </w:numPr>
              <w:tabs>
                <w:tab w:val="left" w:pos="177"/>
              </w:tabs>
              <w:ind w:left="0" w:firstLine="35"/>
              <w:rPr>
                <w:color w:val="000000"/>
                <w:sz w:val="18"/>
                <w:szCs w:val="18"/>
                <w:lang w:val="en-US"/>
              </w:rPr>
            </w:pPr>
            <w:r w:rsidRPr="008915A2">
              <w:rPr>
                <w:color w:val="000000"/>
                <w:sz w:val="18"/>
                <w:szCs w:val="18"/>
                <w:lang w:val="en-US"/>
              </w:rPr>
              <w:t>Growth on KCM due to the growth of income from interest on deposits, securities and gains from the sale of securities;</w:t>
            </w:r>
          </w:p>
          <w:p w:rsidR="00042306" w:rsidRPr="008915A2" w:rsidRDefault="00042306" w:rsidP="00CD6A66">
            <w:pPr>
              <w:pStyle w:val="a3"/>
              <w:numPr>
                <w:ilvl w:val="0"/>
                <w:numId w:val="37"/>
              </w:numPr>
              <w:tabs>
                <w:tab w:val="left" w:pos="177"/>
              </w:tabs>
              <w:ind w:left="0" w:firstLine="35"/>
              <w:rPr>
                <w:color w:val="000000"/>
                <w:sz w:val="18"/>
                <w:szCs w:val="18"/>
                <w:lang w:val="en-US"/>
              </w:rPr>
            </w:pPr>
            <w:r w:rsidRPr="008915A2">
              <w:rPr>
                <w:color w:val="000000"/>
                <w:sz w:val="18"/>
                <w:szCs w:val="18"/>
                <w:lang w:val="en-US"/>
              </w:rPr>
              <w:t>Reduction on IFK through the reduction of income from investment gains, TRC placement;</w:t>
            </w:r>
          </w:p>
          <w:p w:rsidR="00042306" w:rsidRPr="008915A2" w:rsidRDefault="00042306" w:rsidP="00CD6A66">
            <w:pPr>
              <w:pStyle w:val="a3"/>
              <w:numPr>
                <w:ilvl w:val="0"/>
                <w:numId w:val="37"/>
              </w:numPr>
              <w:tabs>
                <w:tab w:val="left" w:pos="177"/>
              </w:tabs>
              <w:ind w:left="0" w:firstLine="35"/>
              <w:rPr>
                <w:color w:val="000000"/>
                <w:sz w:val="18"/>
                <w:szCs w:val="18"/>
                <w:lang w:val="en-US"/>
              </w:rPr>
            </w:pPr>
            <w:r w:rsidRPr="008915A2">
              <w:rPr>
                <w:color w:val="000000"/>
                <w:sz w:val="18"/>
                <w:szCs w:val="18"/>
                <w:lang w:val="en-US"/>
              </w:rPr>
              <w:t>Growth on DBK due to growth in interest remuneration income, recovery of asset impairment.</w:t>
            </w:r>
          </w:p>
        </w:tc>
        <w:tc>
          <w:tcPr>
            <w:tcW w:w="1418" w:type="dxa"/>
            <w:vAlign w:val="center"/>
          </w:tcPr>
          <w:p w:rsidR="00042306" w:rsidRPr="00C74E45" w:rsidRDefault="00042306" w:rsidP="00AF47B9">
            <w:pPr>
              <w:jc w:val="center"/>
              <w:rPr>
                <w:sz w:val="18"/>
                <w:szCs w:val="18"/>
              </w:rPr>
            </w:pPr>
            <w:r>
              <w:rPr>
                <w:sz w:val="18"/>
                <w:szCs w:val="18"/>
              </w:rPr>
              <w:t>-4,6</w:t>
            </w:r>
          </w:p>
        </w:tc>
      </w:tr>
      <w:tr w:rsidR="00042306" w:rsidTr="00CF5769">
        <w:trPr>
          <w:trHeight w:val="347"/>
        </w:trPr>
        <w:tc>
          <w:tcPr>
            <w:tcW w:w="8469" w:type="dxa"/>
            <w:shd w:val="clear" w:color="auto" w:fill="auto"/>
            <w:vAlign w:val="center"/>
            <w:hideMark/>
          </w:tcPr>
          <w:p w:rsidR="00042306" w:rsidRDefault="00042306" w:rsidP="008915A2">
            <w:pPr>
              <w:tabs>
                <w:tab w:val="left" w:pos="426"/>
              </w:tabs>
              <w:ind w:left="-709" w:firstLine="709"/>
              <w:rPr>
                <w:b/>
                <w:color w:val="000000"/>
                <w:sz w:val="18"/>
                <w:szCs w:val="18"/>
                <w:lang w:val="en-US"/>
              </w:rPr>
            </w:pPr>
            <w:r>
              <w:rPr>
                <w:b/>
                <w:color w:val="000000"/>
                <w:sz w:val="18"/>
                <w:szCs w:val="18"/>
                <w:lang w:val="en-US"/>
              </w:rPr>
              <w:t>Effect of STB:</w:t>
            </w:r>
          </w:p>
          <w:p w:rsidR="00042306" w:rsidRPr="008915A2" w:rsidRDefault="00042306" w:rsidP="008915A2">
            <w:pPr>
              <w:tabs>
                <w:tab w:val="left" w:pos="426"/>
              </w:tabs>
              <w:ind w:left="-709" w:firstLine="709"/>
              <w:rPr>
                <w:color w:val="000000"/>
                <w:sz w:val="18"/>
                <w:szCs w:val="18"/>
                <w:lang w:val="en-US"/>
              </w:rPr>
            </w:pPr>
            <w:r w:rsidRPr="008915A2">
              <w:rPr>
                <w:color w:val="000000"/>
                <w:sz w:val="18"/>
                <w:szCs w:val="18"/>
                <w:lang w:val="en-US"/>
              </w:rPr>
              <w:t xml:space="preserve">• foreign exchange loss increased </w:t>
            </w:r>
            <w:r>
              <w:rPr>
                <w:color w:val="000000"/>
                <w:sz w:val="18"/>
                <w:szCs w:val="18"/>
                <w:lang w:val="en-US"/>
              </w:rPr>
              <w:t>on</w:t>
            </w:r>
            <w:r w:rsidRPr="008915A2">
              <w:rPr>
                <w:color w:val="000000"/>
                <w:sz w:val="18"/>
                <w:szCs w:val="18"/>
                <w:lang w:val="en-US"/>
              </w:rPr>
              <w:t xml:space="preserve"> </w:t>
            </w:r>
            <w:r>
              <w:rPr>
                <w:color w:val="000000"/>
                <w:sz w:val="18"/>
                <w:szCs w:val="18"/>
                <w:lang w:val="en-US"/>
              </w:rPr>
              <w:t>“</w:t>
            </w:r>
            <w:r w:rsidRPr="008915A2">
              <w:rPr>
                <w:color w:val="000000"/>
                <w:sz w:val="18"/>
                <w:szCs w:val="18"/>
                <w:lang w:val="en-US"/>
              </w:rPr>
              <w:t>BTA Bank</w:t>
            </w:r>
            <w:r>
              <w:rPr>
                <w:color w:val="000000"/>
                <w:sz w:val="18"/>
                <w:szCs w:val="18"/>
                <w:lang w:val="en-US"/>
              </w:rPr>
              <w:t>”</w:t>
            </w:r>
            <w:r w:rsidRPr="008915A2">
              <w:rPr>
                <w:color w:val="000000"/>
                <w:sz w:val="18"/>
                <w:szCs w:val="18"/>
                <w:lang w:val="en-US"/>
              </w:rPr>
              <w:t xml:space="preserve"> JSC</w:t>
            </w:r>
            <w:r>
              <w:rPr>
                <w:color w:val="000000"/>
                <w:sz w:val="18"/>
                <w:szCs w:val="18"/>
                <w:lang w:val="en-US"/>
              </w:rPr>
              <w:t xml:space="preserve"> and “</w:t>
            </w:r>
            <w:r w:rsidRPr="008915A2">
              <w:rPr>
                <w:color w:val="000000"/>
                <w:sz w:val="18"/>
                <w:szCs w:val="18"/>
                <w:lang w:val="en-US"/>
              </w:rPr>
              <w:t>Alliance Bank</w:t>
            </w:r>
            <w:r>
              <w:rPr>
                <w:color w:val="000000"/>
                <w:sz w:val="18"/>
                <w:szCs w:val="18"/>
                <w:lang w:val="en-US"/>
              </w:rPr>
              <w:t>” JSC</w:t>
            </w:r>
            <w:r w:rsidRPr="008915A2">
              <w:rPr>
                <w:color w:val="000000"/>
                <w:sz w:val="18"/>
                <w:szCs w:val="18"/>
                <w:lang w:val="en-US"/>
              </w:rPr>
              <w:t>;</w:t>
            </w:r>
          </w:p>
          <w:p w:rsidR="00042306" w:rsidRPr="008915A2" w:rsidRDefault="00042306" w:rsidP="008915A2">
            <w:pPr>
              <w:tabs>
                <w:tab w:val="left" w:pos="426"/>
              </w:tabs>
              <w:ind w:left="-709" w:firstLine="709"/>
              <w:rPr>
                <w:color w:val="000000"/>
                <w:sz w:val="18"/>
                <w:szCs w:val="18"/>
                <w:lang w:val="en-US"/>
              </w:rPr>
            </w:pPr>
            <w:r w:rsidRPr="008915A2">
              <w:rPr>
                <w:color w:val="000000"/>
                <w:sz w:val="18"/>
                <w:szCs w:val="18"/>
                <w:lang w:val="en-US"/>
              </w:rPr>
              <w:t>• reduc</w:t>
            </w:r>
            <w:r>
              <w:rPr>
                <w:color w:val="000000"/>
                <w:sz w:val="18"/>
                <w:szCs w:val="18"/>
                <w:lang w:val="en-US"/>
              </w:rPr>
              <w:t>tion of deferred income tax of “</w:t>
            </w:r>
            <w:r w:rsidRPr="008915A2">
              <w:rPr>
                <w:color w:val="000000"/>
                <w:sz w:val="18"/>
                <w:szCs w:val="18"/>
                <w:lang w:val="en-US"/>
              </w:rPr>
              <w:t>BTA Bank</w:t>
            </w:r>
            <w:r>
              <w:rPr>
                <w:color w:val="000000"/>
                <w:sz w:val="18"/>
                <w:szCs w:val="18"/>
                <w:lang w:val="en-US"/>
              </w:rPr>
              <w:t>” JSC</w:t>
            </w:r>
            <w:r w:rsidRPr="008915A2">
              <w:rPr>
                <w:color w:val="000000"/>
                <w:sz w:val="18"/>
                <w:szCs w:val="18"/>
                <w:lang w:val="en-US"/>
              </w:rPr>
              <w:t>;</w:t>
            </w:r>
          </w:p>
          <w:p w:rsidR="00042306" w:rsidRPr="008915A2" w:rsidRDefault="00DA3E22" w:rsidP="008915A2">
            <w:pPr>
              <w:tabs>
                <w:tab w:val="left" w:pos="426"/>
              </w:tabs>
              <w:ind w:left="-709" w:firstLine="709"/>
              <w:rPr>
                <w:color w:val="000000"/>
                <w:sz w:val="18"/>
                <w:szCs w:val="18"/>
                <w:lang w:val="en-US"/>
              </w:rPr>
            </w:pPr>
            <w:r>
              <w:rPr>
                <w:color w:val="000000"/>
                <w:sz w:val="18"/>
                <w:szCs w:val="18"/>
                <w:lang w:val="en-US"/>
              </w:rPr>
              <w:t xml:space="preserve">• costs </w:t>
            </w:r>
            <w:r w:rsidR="00042306" w:rsidRPr="008915A2">
              <w:rPr>
                <w:color w:val="000000"/>
                <w:sz w:val="18"/>
                <w:szCs w:val="18"/>
                <w:lang w:val="en-US"/>
              </w:rPr>
              <w:t xml:space="preserve">for change in the value of bonds </w:t>
            </w:r>
            <w:r w:rsidR="00042306">
              <w:rPr>
                <w:color w:val="000000"/>
                <w:sz w:val="18"/>
                <w:szCs w:val="18"/>
                <w:lang w:val="en-US"/>
              </w:rPr>
              <w:t>for restoration on “</w:t>
            </w:r>
            <w:r w:rsidR="00042306" w:rsidRPr="008915A2">
              <w:rPr>
                <w:color w:val="000000"/>
                <w:sz w:val="18"/>
                <w:szCs w:val="18"/>
                <w:lang w:val="en-US"/>
              </w:rPr>
              <w:t>BTA Bank</w:t>
            </w:r>
            <w:r w:rsidR="00042306">
              <w:rPr>
                <w:color w:val="000000"/>
                <w:sz w:val="18"/>
                <w:szCs w:val="18"/>
                <w:lang w:val="en-US"/>
              </w:rPr>
              <w:t>” JSC</w:t>
            </w:r>
            <w:r w:rsidR="00042306" w:rsidRPr="008915A2">
              <w:rPr>
                <w:color w:val="000000"/>
                <w:sz w:val="18"/>
                <w:szCs w:val="18"/>
                <w:lang w:val="en-US"/>
              </w:rPr>
              <w:t>;</w:t>
            </w:r>
          </w:p>
          <w:p w:rsidR="00042306" w:rsidRPr="00031D3F" w:rsidRDefault="00042306" w:rsidP="008915A2">
            <w:pPr>
              <w:tabs>
                <w:tab w:val="left" w:pos="426"/>
              </w:tabs>
              <w:ind w:left="-709" w:firstLine="709"/>
              <w:rPr>
                <w:color w:val="000000"/>
                <w:sz w:val="18"/>
                <w:szCs w:val="18"/>
                <w:lang w:val="en-US"/>
              </w:rPr>
            </w:pPr>
            <w:r w:rsidRPr="008915A2">
              <w:rPr>
                <w:color w:val="000000"/>
                <w:sz w:val="18"/>
                <w:szCs w:val="18"/>
                <w:lang w:val="en-US"/>
              </w:rPr>
              <w:t>• reduced asset impairment.</w:t>
            </w:r>
          </w:p>
        </w:tc>
        <w:tc>
          <w:tcPr>
            <w:tcW w:w="1418" w:type="dxa"/>
            <w:vAlign w:val="center"/>
          </w:tcPr>
          <w:p w:rsidR="00042306" w:rsidRPr="00C74E45" w:rsidRDefault="00042306" w:rsidP="00AF47B9">
            <w:pPr>
              <w:jc w:val="center"/>
              <w:rPr>
                <w:sz w:val="18"/>
                <w:szCs w:val="18"/>
              </w:rPr>
            </w:pPr>
            <w:r>
              <w:rPr>
                <w:sz w:val="18"/>
                <w:szCs w:val="18"/>
              </w:rPr>
              <w:t>-503,1</w:t>
            </w:r>
          </w:p>
        </w:tc>
      </w:tr>
      <w:tr w:rsidR="00042306" w:rsidTr="00CF5769">
        <w:trPr>
          <w:trHeight w:val="279"/>
        </w:trPr>
        <w:tc>
          <w:tcPr>
            <w:tcW w:w="8469" w:type="dxa"/>
            <w:shd w:val="clear" w:color="auto" w:fill="auto"/>
            <w:vAlign w:val="center"/>
          </w:tcPr>
          <w:p w:rsidR="00042306" w:rsidRPr="00F65172" w:rsidRDefault="00042306" w:rsidP="00770BC8">
            <w:pPr>
              <w:tabs>
                <w:tab w:val="left" w:pos="426"/>
              </w:tabs>
              <w:ind w:left="-709" w:firstLine="709"/>
              <w:rPr>
                <w:b/>
                <w:bCs/>
                <w:color w:val="000000"/>
                <w:sz w:val="18"/>
                <w:szCs w:val="18"/>
                <w:lang w:val="en-US"/>
              </w:rPr>
            </w:pPr>
            <w:r>
              <w:rPr>
                <w:b/>
                <w:bCs/>
                <w:color w:val="000000"/>
                <w:sz w:val="18"/>
                <w:szCs w:val="18"/>
                <w:lang w:val="en-US"/>
              </w:rPr>
              <w:t>Others</w:t>
            </w:r>
          </w:p>
        </w:tc>
        <w:tc>
          <w:tcPr>
            <w:tcW w:w="1418" w:type="dxa"/>
            <w:vAlign w:val="center"/>
          </w:tcPr>
          <w:p w:rsidR="00042306" w:rsidRPr="00C74E45" w:rsidRDefault="00042306" w:rsidP="00AF47B9">
            <w:pPr>
              <w:jc w:val="center"/>
              <w:rPr>
                <w:sz w:val="18"/>
                <w:szCs w:val="18"/>
              </w:rPr>
            </w:pPr>
            <w:r>
              <w:rPr>
                <w:sz w:val="18"/>
                <w:szCs w:val="18"/>
              </w:rPr>
              <w:t>-2,8</w:t>
            </w:r>
          </w:p>
        </w:tc>
      </w:tr>
    </w:tbl>
    <w:p w:rsidR="002664E4" w:rsidRDefault="002664E4" w:rsidP="002664E4">
      <w:pPr>
        <w:tabs>
          <w:tab w:val="left" w:pos="426"/>
        </w:tabs>
        <w:autoSpaceDE w:val="0"/>
        <w:autoSpaceDN w:val="0"/>
        <w:adjustRightInd w:val="0"/>
        <w:ind w:left="-709" w:firstLine="709"/>
        <w:jc w:val="both"/>
        <w:rPr>
          <w:sz w:val="22"/>
          <w:szCs w:val="22"/>
          <w:lang w:val="en-US"/>
        </w:rPr>
      </w:pPr>
    </w:p>
    <w:p w:rsidR="002664E4" w:rsidRPr="00CC01BB" w:rsidRDefault="00A81F67" w:rsidP="002664E4">
      <w:pPr>
        <w:tabs>
          <w:tab w:val="left" w:pos="426"/>
        </w:tabs>
        <w:autoSpaceDE w:val="0"/>
        <w:autoSpaceDN w:val="0"/>
        <w:adjustRightInd w:val="0"/>
        <w:ind w:left="-709" w:firstLine="709"/>
        <w:jc w:val="both"/>
        <w:rPr>
          <w:sz w:val="22"/>
          <w:szCs w:val="22"/>
          <w:lang w:val="en-US"/>
        </w:rPr>
      </w:pPr>
      <w:r w:rsidRPr="00A81F67">
        <w:rPr>
          <w:sz w:val="22"/>
          <w:szCs w:val="22"/>
          <w:lang w:val="en-US"/>
        </w:rPr>
        <w:t xml:space="preserve">The decrease in net income in the period </w:t>
      </w:r>
      <w:r>
        <w:rPr>
          <w:sz w:val="22"/>
          <w:szCs w:val="22"/>
          <w:lang w:val="en-US"/>
        </w:rPr>
        <w:t xml:space="preserve">by </w:t>
      </w:r>
      <w:r w:rsidRPr="00A81F67">
        <w:rPr>
          <w:b/>
          <w:sz w:val="22"/>
          <w:szCs w:val="22"/>
          <w:lang w:val="en-US"/>
        </w:rPr>
        <w:t>KZT 510.5 billion</w:t>
      </w:r>
      <w:r w:rsidRPr="00A81F67">
        <w:rPr>
          <w:sz w:val="22"/>
          <w:szCs w:val="22"/>
          <w:lang w:val="en-US"/>
        </w:rPr>
        <w:t xml:space="preserve"> </w:t>
      </w:r>
      <w:r>
        <w:rPr>
          <w:sz w:val="22"/>
          <w:szCs w:val="22"/>
          <w:lang w:val="en-US"/>
        </w:rPr>
        <w:t>compared to</w:t>
      </w:r>
      <w:r w:rsidRPr="00A81F67">
        <w:rPr>
          <w:sz w:val="22"/>
          <w:szCs w:val="22"/>
          <w:lang w:val="en-US"/>
        </w:rPr>
        <w:t xml:space="preserve"> the same period in 2011 </w:t>
      </w:r>
      <w:r>
        <w:rPr>
          <w:sz w:val="22"/>
          <w:szCs w:val="22"/>
          <w:lang w:val="en-US"/>
        </w:rPr>
        <w:t>on</w:t>
      </w:r>
      <w:r w:rsidRPr="00A81F67">
        <w:rPr>
          <w:sz w:val="22"/>
          <w:szCs w:val="22"/>
          <w:lang w:val="en-US"/>
        </w:rPr>
        <w:t xml:space="preserve"> the segment</w:t>
      </w:r>
      <w:r>
        <w:rPr>
          <w:sz w:val="22"/>
          <w:szCs w:val="22"/>
          <w:lang w:val="en-US"/>
        </w:rPr>
        <w:t xml:space="preserve"> </w:t>
      </w:r>
      <w:r w:rsidRPr="00A81F67">
        <w:rPr>
          <w:b/>
          <w:sz w:val="22"/>
          <w:szCs w:val="22"/>
          <w:lang w:val="en-US"/>
        </w:rPr>
        <w:t>“Financial institutions and development institutions”,</w:t>
      </w:r>
      <w:r w:rsidRPr="00A81F67">
        <w:rPr>
          <w:sz w:val="22"/>
          <w:szCs w:val="22"/>
          <w:lang w:val="en-US"/>
        </w:rPr>
        <w:t xml:space="preserve"> </w:t>
      </w:r>
      <w:r>
        <w:rPr>
          <w:sz w:val="22"/>
          <w:szCs w:val="22"/>
          <w:lang w:val="en-US"/>
        </w:rPr>
        <w:t xml:space="preserve">is </w:t>
      </w:r>
      <w:r w:rsidR="007230B3">
        <w:rPr>
          <w:sz w:val="22"/>
          <w:szCs w:val="22"/>
          <w:lang w:val="en-US"/>
        </w:rPr>
        <w:t>m</w:t>
      </w:r>
      <w:r w:rsidR="007230B3" w:rsidRPr="007230B3">
        <w:rPr>
          <w:sz w:val="22"/>
          <w:szCs w:val="22"/>
          <w:lang w:val="en-US"/>
        </w:rPr>
        <w:t>ainly due to the operating loss on BTA Bank because of the costs for the change in the value of the bonds on the restoration on “BTA Bank” JSC</w:t>
      </w:r>
      <w:r>
        <w:rPr>
          <w:sz w:val="22"/>
          <w:szCs w:val="22"/>
          <w:lang w:val="en-US"/>
        </w:rPr>
        <w:t xml:space="preserve"> </w:t>
      </w:r>
      <w:r w:rsidRPr="00A81F67">
        <w:rPr>
          <w:sz w:val="22"/>
          <w:szCs w:val="22"/>
          <w:lang w:val="en-US"/>
        </w:rPr>
        <w:t xml:space="preserve">in the amount of </w:t>
      </w:r>
      <w:r>
        <w:rPr>
          <w:sz w:val="22"/>
          <w:szCs w:val="22"/>
          <w:lang w:val="en-US"/>
        </w:rPr>
        <w:t xml:space="preserve">KZT </w:t>
      </w:r>
      <w:r w:rsidRPr="00A81F67">
        <w:rPr>
          <w:sz w:val="22"/>
          <w:szCs w:val="22"/>
          <w:lang w:val="en-US"/>
        </w:rPr>
        <w:t>63</w:t>
      </w:r>
      <w:r w:rsidR="00E84BFB">
        <w:rPr>
          <w:sz w:val="22"/>
          <w:szCs w:val="22"/>
          <w:lang w:val="en-US"/>
        </w:rPr>
        <w:t>1</w:t>
      </w:r>
      <w:r w:rsidRPr="00A81F67">
        <w:rPr>
          <w:sz w:val="22"/>
          <w:szCs w:val="22"/>
          <w:lang w:val="en-US"/>
        </w:rPr>
        <w:t xml:space="preserve"> billion.</w:t>
      </w:r>
    </w:p>
    <w:p w:rsidR="002664E4" w:rsidRPr="00CC01BB" w:rsidRDefault="002664E4" w:rsidP="002664E4">
      <w:pPr>
        <w:tabs>
          <w:tab w:val="left" w:pos="426"/>
        </w:tabs>
        <w:autoSpaceDE w:val="0"/>
        <w:autoSpaceDN w:val="0"/>
        <w:adjustRightInd w:val="0"/>
        <w:ind w:left="-709" w:firstLine="709"/>
        <w:jc w:val="both"/>
        <w:rPr>
          <w:sz w:val="22"/>
          <w:szCs w:val="22"/>
          <w:lang w:val="en-US"/>
        </w:rPr>
      </w:pPr>
      <w:r w:rsidRPr="001B12FF">
        <w:rPr>
          <w:b/>
          <w:sz w:val="22"/>
          <w:szCs w:val="22"/>
          <w:lang w:val="en-US"/>
        </w:rPr>
        <w:t>DBK</w:t>
      </w:r>
      <w:r w:rsidRPr="00CC01BB">
        <w:rPr>
          <w:sz w:val="22"/>
          <w:szCs w:val="22"/>
          <w:lang w:val="en-US"/>
        </w:rPr>
        <w:t xml:space="preserve"> will strengthen monitoring of </w:t>
      </w:r>
      <w:r>
        <w:rPr>
          <w:sz w:val="22"/>
          <w:szCs w:val="22"/>
          <w:lang w:val="en-US"/>
        </w:rPr>
        <w:t xml:space="preserve">execution of </w:t>
      </w:r>
      <w:r w:rsidRPr="00CC01BB">
        <w:rPr>
          <w:sz w:val="22"/>
          <w:szCs w:val="22"/>
          <w:lang w:val="en-US"/>
        </w:rPr>
        <w:t xml:space="preserve">credit agreements </w:t>
      </w:r>
      <w:r>
        <w:rPr>
          <w:sz w:val="22"/>
          <w:szCs w:val="22"/>
          <w:lang w:val="en-US"/>
        </w:rPr>
        <w:t xml:space="preserve">by </w:t>
      </w:r>
      <w:r w:rsidRPr="00CC01BB">
        <w:rPr>
          <w:sz w:val="22"/>
          <w:szCs w:val="22"/>
          <w:lang w:val="en-US"/>
        </w:rPr>
        <w:t xml:space="preserve">the borrowers and carry out active work to find and </w:t>
      </w:r>
      <w:r>
        <w:rPr>
          <w:sz w:val="22"/>
          <w:szCs w:val="22"/>
          <w:lang w:val="en-US"/>
        </w:rPr>
        <w:t>attract</w:t>
      </w:r>
      <w:r w:rsidRPr="00CC01BB">
        <w:rPr>
          <w:sz w:val="22"/>
          <w:szCs w:val="22"/>
          <w:lang w:val="en-US"/>
        </w:rPr>
        <w:t xml:space="preserve"> the projects together with the Ministry of Industry and New Technologies and companies of the Fund</w:t>
      </w:r>
      <w:r>
        <w:rPr>
          <w:sz w:val="22"/>
          <w:szCs w:val="22"/>
          <w:lang w:val="en-US"/>
        </w:rPr>
        <w:t>’s group</w:t>
      </w:r>
      <w:r w:rsidRPr="00CC01BB">
        <w:rPr>
          <w:sz w:val="22"/>
          <w:szCs w:val="22"/>
          <w:lang w:val="en-US"/>
        </w:rPr>
        <w:t>, primarily for projects within the framework of SPFIID.</w:t>
      </w:r>
    </w:p>
    <w:p w:rsidR="00A81F67" w:rsidRPr="00A81F67" w:rsidRDefault="00A81F67" w:rsidP="00A81F67">
      <w:pPr>
        <w:tabs>
          <w:tab w:val="left" w:pos="426"/>
        </w:tabs>
        <w:autoSpaceDE w:val="0"/>
        <w:autoSpaceDN w:val="0"/>
        <w:adjustRightInd w:val="0"/>
        <w:ind w:left="-709" w:firstLine="709"/>
        <w:jc w:val="both"/>
        <w:rPr>
          <w:sz w:val="22"/>
          <w:szCs w:val="22"/>
          <w:lang w:val="en-US"/>
        </w:rPr>
      </w:pPr>
      <w:r>
        <w:rPr>
          <w:sz w:val="22"/>
          <w:szCs w:val="22"/>
          <w:lang w:val="en-US"/>
        </w:rPr>
        <w:t>The</w:t>
      </w:r>
      <w:r w:rsidRPr="00A81F67">
        <w:rPr>
          <w:sz w:val="22"/>
          <w:szCs w:val="22"/>
          <w:lang w:val="en-US"/>
        </w:rPr>
        <w:t xml:space="preserve"> Government Decree </w:t>
      </w:r>
      <w:r w:rsidR="00745AD7">
        <w:rPr>
          <w:sz w:val="22"/>
          <w:szCs w:val="22"/>
          <w:lang w:val="en-US"/>
        </w:rPr>
        <w:t>#</w:t>
      </w:r>
      <w:r w:rsidR="00745AD7" w:rsidRPr="00A81F67">
        <w:rPr>
          <w:sz w:val="22"/>
          <w:szCs w:val="22"/>
          <w:lang w:val="en-US"/>
        </w:rPr>
        <w:t xml:space="preserve"> </w:t>
      </w:r>
      <w:r w:rsidRPr="00A81F67">
        <w:rPr>
          <w:sz w:val="22"/>
          <w:szCs w:val="22"/>
          <w:lang w:val="en-US"/>
        </w:rPr>
        <w:t xml:space="preserve">541 </w:t>
      </w:r>
      <w:r>
        <w:rPr>
          <w:sz w:val="22"/>
          <w:szCs w:val="22"/>
          <w:lang w:val="en-US"/>
        </w:rPr>
        <w:t>dated</w:t>
      </w:r>
      <w:r w:rsidRPr="00A81F67">
        <w:rPr>
          <w:sz w:val="22"/>
          <w:szCs w:val="22"/>
          <w:lang w:val="en-US"/>
        </w:rPr>
        <w:t xml:space="preserve"> April 28, 2012</w:t>
      </w:r>
      <w:r>
        <w:rPr>
          <w:sz w:val="22"/>
          <w:szCs w:val="22"/>
          <w:lang w:val="en-US"/>
        </w:rPr>
        <w:t xml:space="preserve"> was approved on </w:t>
      </w:r>
      <w:proofErr w:type="spellStart"/>
      <w:r w:rsidRPr="00A81F67">
        <w:rPr>
          <w:b/>
          <w:sz w:val="22"/>
          <w:szCs w:val="22"/>
          <w:lang w:val="en-US"/>
        </w:rPr>
        <w:t>Damu</w:t>
      </w:r>
      <w:proofErr w:type="spellEnd"/>
      <w:r w:rsidRPr="00A81F67">
        <w:rPr>
          <w:sz w:val="22"/>
          <w:szCs w:val="22"/>
          <w:lang w:val="en-US"/>
        </w:rPr>
        <w:t>, which established the reduced decision-making procedure for issuing guarantees. We believe that the impact of the introdu</w:t>
      </w:r>
      <w:r>
        <w:rPr>
          <w:sz w:val="22"/>
          <w:szCs w:val="22"/>
          <w:lang w:val="en-US"/>
        </w:rPr>
        <w:t>ction of the</w:t>
      </w:r>
      <w:r w:rsidRPr="00A81F67">
        <w:rPr>
          <w:sz w:val="22"/>
          <w:szCs w:val="22"/>
          <w:lang w:val="en-US"/>
        </w:rPr>
        <w:t xml:space="preserve"> new procedure </w:t>
      </w:r>
      <w:r>
        <w:rPr>
          <w:sz w:val="22"/>
          <w:szCs w:val="22"/>
          <w:lang w:val="en-US"/>
        </w:rPr>
        <w:t>on</w:t>
      </w:r>
      <w:r w:rsidRPr="00A81F67">
        <w:rPr>
          <w:sz w:val="22"/>
          <w:szCs w:val="22"/>
          <w:lang w:val="en-US"/>
        </w:rPr>
        <w:t xml:space="preserve"> the </w:t>
      </w:r>
      <w:proofErr w:type="spellStart"/>
      <w:r>
        <w:rPr>
          <w:sz w:val="22"/>
          <w:szCs w:val="22"/>
          <w:lang w:val="en-US"/>
        </w:rPr>
        <w:t>Damu</w:t>
      </w:r>
      <w:proofErr w:type="spellEnd"/>
      <w:r>
        <w:rPr>
          <w:sz w:val="22"/>
          <w:szCs w:val="22"/>
          <w:lang w:val="en-US"/>
        </w:rPr>
        <w:t xml:space="preserve"> </w:t>
      </w:r>
      <w:r w:rsidRPr="00A81F67">
        <w:rPr>
          <w:sz w:val="22"/>
          <w:szCs w:val="22"/>
          <w:lang w:val="en-US"/>
        </w:rPr>
        <w:t>performance may be assessed on the results of subsequent quarters of 2012.</w:t>
      </w:r>
    </w:p>
    <w:p w:rsidR="00A81F67" w:rsidRPr="00A81F67" w:rsidRDefault="00A81F67" w:rsidP="00A81F67">
      <w:pPr>
        <w:tabs>
          <w:tab w:val="left" w:pos="426"/>
        </w:tabs>
        <w:autoSpaceDE w:val="0"/>
        <w:autoSpaceDN w:val="0"/>
        <w:adjustRightInd w:val="0"/>
        <w:ind w:left="-709" w:firstLine="709"/>
        <w:jc w:val="both"/>
        <w:rPr>
          <w:sz w:val="22"/>
          <w:szCs w:val="22"/>
          <w:lang w:val="en-US"/>
        </w:rPr>
      </w:pPr>
      <w:r w:rsidRPr="00A81F67">
        <w:rPr>
          <w:b/>
          <w:sz w:val="22"/>
          <w:szCs w:val="22"/>
          <w:lang w:val="en-US"/>
        </w:rPr>
        <w:t>Real Estate Fund</w:t>
      </w:r>
      <w:r w:rsidRPr="00A81F67">
        <w:rPr>
          <w:sz w:val="22"/>
          <w:szCs w:val="22"/>
          <w:lang w:val="en-US"/>
        </w:rPr>
        <w:t xml:space="preserve"> will strengthen the timely implementation of investment projects and strengthen control over the contractors under </w:t>
      </w:r>
      <w:r>
        <w:rPr>
          <w:sz w:val="22"/>
          <w:szCs w:val="22"/>
          <w:lang w:val="en-US"/>
        </w:rPr>
        <w:t xml:space="preserve">the </w:t>
      </w:r>
      <w:r w:rsidRPr="00A81F67">
        <w:rPr>
          <w:sz w:val="22"/>
          <w:szCs w:val="22"/>
          <w:lang w:val="en-US"/>
        </w:rPr>
        <w:t>contracts.</w:t>
      </w:r>
    </w:p>
    <w:p w:rsidR="00A81F67" w:rsidRPr="00A81F67" w:rsidRDefault="00A81F67" w:rsidP="00A81F67">
      <w:pPr>
        <w:tabs>
          <w:tab w:val="left" w:pos="426"/>
        </w:tabs>
        <w:autoSpaceDE w:val="0"/>
        <w:autoSpaceDN w:val="0"/>
        <w:adjustRightInd w:val="0"/>
        <w:ind w:left="-709" w:firstLine="709"/>
        <w:jc w:val="both"/>
        <w:rPr>
          <w:sz w:val="22"/>
          <w:szCs w:val="22"/>
          <w:lang w:val="en-US"/>
        </w:rPr>
      </w:pPr>
      <w:r w:rsidRPr="00A81F67">
        <w:rPr>
          <w:b/>
          <w:sz w:val="22"/>
          <w:szCs w:val="22"/>
          <w:lang w:val="en-US"/>
        </w:rPr>
        <w:t>IFK</w:t>
      </w:r>
      <w:r w:rsidRPr="00A81F67">
        <w:rPr>
          <w:sz w:val="22"/>
          <w:szCs w:val="22"/>
          <w:lang w:val="en-US"/>
        </w:rPr>
        <w:t xml:space="preserve"> will continue to withdraw from projects and </w:t>
      </w:r>
      <w:r>
        <w:rPr>
          <w:sz w:val="22"/>
          <w:szCs w:val="22"/>
          <w:lang w:val="en-US"/>
        </w:rPr>
        <w:t>recover</w:t>
      </w:r>
      <w:r w:rsidRPr="00A81F67">
        <w:rPr>
          <w:sz w:val="22"/>
          <w:szCs w:val="22"/>
          <w:lang w:val="en-US"/>
        </w:rPr>
        <w:t xml:space="preserve"> the provision</w:t>
      </w:r>
      <w:r>
        <w:rPr>
          <w:sz w:val="22"/>
          <w:szCs w:val="22"/>
          <w:lang w:val="en-US"/>
        </w:rPr>
        <w:t>s</w:t>
      </w:r>
      <w:r w:rsidRPr="00A81F67">
        <w:rPr>
          <w:sz w:val="22"/>
          <w:szCs w:val="22"/>
          <w:lang w:val="en-US"/>
        </w:rPr>
        <w:t xml:space="preserve"> </w:t>
      </w:r>
      <w:r>
        <w:rPr>
          <w:sz w:val="22"/>
          <w:szCs w:val="22"/>
          <w:lang w:val="en-US"/>
        </w:rPr>
        <w:t>from</w:t>
      </w:r>
      <w:r w:rsidRPr="00A81F67">
        <w:rPr>
          <w:sz w:val="22"/>
          <w:szCs w:val="22"/>
          <w:lang w:val="en-US"/>
        </w:rPr>
        <w:t xml:space="preserve"> impairment of investments, formed in previous years.</w:t>
      </w:r>
    </w:p>
    <w:p w:rsidR="002664E4" w:rsidRPr="00A81F67" w:rsidRDefault="00A81F67" w:rsidP="00A81F67">
      <w:pPr>
        <w:tabs>
          <w:tab w:val="left" w:pos="426"/>
        </w:tabs>
        <w:autoSpaceDE w:val="0"/>
        <w:autoSpaceDN w:val="0"/>
        <w:adjustRightInd w:val="0"/>
        <w:ind w:left="-709" w:firstLine="709"/>
        <w:jc w:val="both"/>
        <w:rPr>
          <w:sz w:val="22"/>
          <w:szCs w:val="22"/>
          <w:lang w:val="en-US"/>
        </w:rPr>
      </w:pPr>
      <w:r w:rsidRPr="00A81F67">
        <w:rPr>
          <w:b/>
          <w:sz w:val="22"/>
          <w:szCs w:val="22"/>
          <w:lang w:val="en-US"/>
        </w:rPr>
        <w:t>Capital costs</w:t>
      </w:r>
      <w:r w:rsidRPr="00A81F67">
        <w:rPr>
          <w:sz w:val="22"/>
          <w:szCs w:val="22"/>
          <w:lang w:val="en-US"/>
        </w:rPr>
        <w:t xml:space="preserve"> for this segment in the reporting period amounted to </w:t>
      </w:r>
      <w:r>
        <w:rPr>
          <w:sz w:val="22"/>
          <w:szCs w:val="22"/>
          <w:lang w:val="en-US"/>
        </w:rPr>
        <w:t xml:space="preserve">KZT </w:t>
      </w:r>
      <w:r w:rsidRPr="00A81F67">
        <w:rPr>
          <w:sz w:val="22"/>
          <w:szCs w:val="22"/>
          <w:lang w:val="en-US"/>
        </w:rPr>
        <w:t xml:space="preserve">13.5 billion, mainly </w:t>
      </w:r>
      <w:r>
        <w:rPr>
          <w:sz w:val="22"/>
          <w:szCs w:val="22"/>
          <w:lang w:val="en-US"/>
        </w:rPr>
        <w:t>on</w:t>
      </w:r>
      <w:r w:rsidRPr="00A81F67">
        <w:rPr>
          <w:sz w:val="22"/>
          <w:szCs w:val="22"/>
          <w:lang w:val="en-US"/>
        </w:rPr>
        <w:t xml:space="preserve"> the Real Estate Fund </w:t>
      </w:r>
      <w:r w:rsidR="0021170C">
        <w:rPr>
          <w:sz w:val="22"/>
          <w:szCs w:val="22"/>
          <w:lang w:val="en-US"/>
        </w:rPr>
        <w:t xml:space="preserve">- KZT </w:t>
      </w:r>
      <w:r w:rsidR="0021170C" w:rsidRPr="00A81F67">
        <w:rPr>
          <w:sz w:val="22"/>
          <w:szCs w:val="22"/>
          <w:lang w:val="en-US"/>
        </w:rPr>
        <w:t xml:space="preserve">9.9 billion </w:t>
      </w:r>
      <w:r w:rsidRPr="00A81F67">
        <w:rPr>
          <w:sz w:val="22"/>
          <w:szCs w:val="22"/>
          <w:lang w:val="en-US"/>
        </w:rPr>
        <w:t xml:space="preserve">to finance unfinished projects and </w:t>
      </w:r>
      <w:r w:rsidR="0021170C">
        <w:rPr>
          <w:sz w:val="22"/>
          <w:szCs w:val="22"/>
          <w:lang w:val="en-US"/>
        </w:rPr>
        <w:t xml:space="preserve">on </w:t>
      </w:r>
      <w:r>
        <w:rPr>
          <w:sz w:val="22"/>
          <w:szCs w:val="22"/>
          <w:lang w:val="en-US"/>
        </w:rPr>
        <w:t>KCM</w:t>
      </w:r>
      <w:r w:rsidRPr="00A81F67">
        <w:rPr>
          <w:sz w:val="22"/>
          <w:szCs w:val="22"/>
          <w:lang w:val="en-US"/>
        </w:rPr>
        <w:t xml:space="preserve"> </w:t>
      </w:r>
      <w:r>
        <w:rPr>
          <w:sz w:val="22"/>
          <w:szCs w:val="22"/>
          <w:lang w:val="en-US"/>
        </w:rPr>
        <w:t>–</w:t>
      </w:r>
      <w:r w:rsidRPr="00A81F67">
        <w:rPr>
          <w:sz w:val="22"/>
          <w:szCs w:val="22"/>
          <w:lang w:val="en-US"/>
        </w:rPr>
        <w:t xml:space="preserve"> </w:t>
      </w:r>
      <w:r>
        <w:rPr>
          <w:sz w:val="22"/>
          <w:szCs w:val="22"/>
          <w:lang w:val="en-US"/>
        </w:rPr>
        <w:t xml:space="preserve">KZT </w:t>
      </w:r>
      <w:r w:rsidRPr="00A81F67">
        <w:rPr>
          <w:sz w:val="22"/>
          <w:szCs w:val="22"/>
          <w:lang w:val="en-US"/>
        </w:rPr>
        <w:t xml:space="preserve">3.5 </w:t>
      </w:r>
      <w:r w:rsidR="008661D3">
        <w:rPr>
          <w:sz w:val="22"/>
          <w:szCs w:val="22"/>
          <w:lang w:val="en-US"/>
        </w:rPr>
        <w:t>billion</w:t>
      </w:r>
      <w:r w:rsidRPr="00A81F67">
        <w:rPr>
          <w:sz w:val="22"/>
          <w:szCs w:val="22"/>
          <w:lang w:val="en-US"/>
        </w:rPr>
        <w:t xml:space="preserve"> to acquire participating interest</w:t>
      </w:r>
      <w:r w:rsidR="008661D3">
        <w:rPr>
          <w:sz w:val="22"/>
          <w:szCs w:val="22"/>
          <w:lang w:val="en-US"/>
        </w:rPr>
        <w:t>s</w:t>
      </w:r>
      <w:r w:rsidRPr="00A81F67">
        <w:rPr>
          <w:sz w:val="22"/>
          <w:szCs w:val="22"/>
          <w:lang w:val="en-US"/>
        </w:rPr>
        <w:t>.</w:t>
      </w:r>
    </w:p>
    <w:p w:rsidR="002664E4" w:rsidRPr="00334790" w:rsidRDefault="002664E4" w:rsidP="002664E4">
      <w:pPr>
        <w:tabs>
          <w:tab w:val="left" w:pos="426"/>
        </w:tabs>
        <w:autoSpaceDE w:val="0"/>
        <w:autoSpaceDN w:val="0"/>
        <w:adjustRightInd w:val="0"/>
        <w:ind w:left="-709" w:firstLine="709"/>
        <w:jc w:val="both"/>
        <w:rPr>
          <w:b/>
          <w:sz w:val="22"/>
          <w:szCs w:val="22"/>
          <w:lang w:val="en-US"/>
        </w:rPr>
      </w:pPr>
    </w:p>
    <w:p w:rsidR="00CF5769" w:rsidRDefault="00CF5769" w:rsidP="002664E4">
      <w:pPr>
        <w:tabs>
          <w:tab w:val="left" w:pos="426"/>
        </w:tabs>
        <w:autoSpaceDE w:val="0"/>
        <w:autoSpaceDN w:val="0"/>
        <w:adjustRightInd w:val="0"/>
        <w:ind w:left="-709" w:firstLine="709"/>
        <w:jc w:val="both"/>
        <w:rPr>
          <w:b/>
          <w:sz w:val="22"/>
          <w:szCs w:val="22"/>
          <w:lang w:val="en-US"/>
        </w:rPr>
      </w:pPr>
    </w:p>
    <w:p w:rsidR="00584768" w:rsidRPr="00334790" w:rsidRDefault="00584768" w:rsidP="002664E4">
      <w:pPr>
        <w:tabs>
          <w:tab w:val="left" w:pos="426"/>
        </w:tabs>
        <w:autoSpaceDE w:val="0"/>
        <w:autoSpaceDN w:val="0"/>
        <w:adjustRightInd w:val="0"/>
        <w:ind w:left="-709" w:firstLine="709"/>
        <w:jc w:val="both"/>
        <w:rPr>
          <w:b/>
          <w:sz w:val="22"/>
          <w:szCs w:val="22"/>
          <w:lang w:val="en-US"/>
        </w:rPr>
      </w:pPr>
    </w:p>
    <w:p w:rsidR="00CF5769" w:rsidRPr="00334790" w:rsidRDefault="00CF5769" w:rsidP="002664E4">
      <w:pPr>
        <w:tabs>
          <w:tab w:val="left" w:pos="426"/>
        </w:tabs>
        <w:autoSpaceDE w:val="0"/>
        <w:autoSpaceDN w:val="0"/>
        <w:adjustRightInd w:val="0"/>
        <w:ind w:left="-709" w:firstLine="709"/>
        <w:jc w:val="both"/>
        <w:rPr>
          <w:b/>
          <w:sz w:val="22"/>
          <w:szCs w:val="22"/>
          <w:lang w:val="en-US"/>
        </w:rPr>
      </w:pPr>
    </w:p>
    <w:p w:rsidR="002664E4" w:rsidRDefault="002664E4" w:rsidP="002664E4">
      <w:pPr>
        <w:tabs>
          <w:tab w:val="left" w:pos="426"/>
          <w:tab w:val="left" w:pos="993"/>
        </w:tabs>
        <w:autoSpaceDE w:val="0"/>
        <w:autoSpaceDN w:val="0"/>
        <w:adjustRightInd w:val="0"/>
        <w:ind w:left="-709" w:firstLine="709"/>
        <w:jc w:val="both"/>
        <w:rPr>
          <w:b/>
          <w:sz w:val="22"/>
          <w:szCs w:val="22"/>
          <w:lang w:val="en-US"/>
        </w:rPr>
      </w:pPr>
      <w:r>
        <w:rPr>
          <w:b/>
          <w:sz w:val="22"/>
          <w:szCs w:val="22"/>
          <w:lang w:val="en-US"/>
        </w:rPr>
        <w:t>3.7 “Corporate Center and projects” segment</w:t>
      </w:r>
    </w:p>
    <w:p w:rsidR="00157967" w:rsidRPr="00942511" w:rsidRDefault="00157967" w:rsidP="002664E4">
      <w:pPr>
        <w:tabs>
          <w:tab w:val="left" w:pos="426"/>
          <w:tab w:val="left" w:pos="993"/>
        </w:tabs>
        <w:autoSpaceDE w:val="0"/>
        <w:autoSpaceDN w:val="0"/>
        <w:adjustRightInd w:val="0"/>
        <w:ind w:left="-709" w:firstLine="709"/>
        <w:jc w:val="both"/>
        <w:rPr>
          <w:b/>
          <w:sz w:val="22"/>
          <w:szCs w:val="22"/>
          <w:lang w:val="en-US"/>
        </w:rPr>
      </w:pPr>
    </w:p>
    <w:p w:rsidR="00157967" w:rsidRPr="00334790" w:rsidRDefault="00157967" w:rsidP="00157967">
      <w:pPr>
        <w:tabs>
          <w:tab w:val="left" w:pos="426"/>
        </w:tabs>
        <w:ind w:left="-709" w:firstLine="709"/>
        <w:jc w:val="both"/>
        <w:rPr>
          <w:rStyle w:val="apple-style-span"/>
          <w:sz w:val="22"/>
          <w:szCs w:val="22"/>
          <w:shd w:val="clear" w:color="auto" w:fill="FFFFFF"/>
          <w:lang w:val="en-US"/>
        </w:rPr>
      </w:pPr>
      <w:r w:rsidRPr="008252D9">
        <w:rPr>
          <w:rStyle w:val="apple-style-span"/>
          <w:sz w:val="22"/>
          <w:szCs w:val="22"/>
          <w:shd w:val="clear" w:color="auto" w:fill="FFFFFF"/>
          <w:lang w:val="en-US"/>
        </w:rPr>
        <w:t>The</w:t>
      </w:r>
      <w:r>
        <w:rPr>
          <w:rStyle w:val="apple-style-span"/>
          <w:sz w:val="22"/>
          <w:szCs w:val="22"/>
          <w:shd w:val="clear" w:color="auto" w:fill="FFFFFF"/>
          <w:lang w:val="en-US"/>
        </w:rPr>
        <w:t xml:space="preserve"> </w:t>
      </w:r>
      <w:r w:rsidRPr="008252D9">
        <w:rPr>
          <w:rStyle w:val="apple-style-span"/>
          <w:sz w:val="22"/>
          <w:szCs w:val="22"/>
          <w:shd w:val="clear" w:color="auto" w:fill="FFFFFF"/>
          <w:lang w:val="en-US"/>
        </w:rPr>
        <w:t xml:space="preserve">main factors </w:t>
      </w:r>
      <w:r>
        <w:rPr>
          <w:rStyle w:val="apple-style-span"/>
          <w:sz w:val="22"/>
          <w:szCs w:val="22"/>
          <w:shd w:val="clear" w:color="auto" w:fill="FFFFFF"/>
          <w:lang w:val="en-US"/>
        </w:rPr>
        <w:t xml:space="preserve">of changing of </w:t>
      </w:r>
      <w:r w:rsidRPr="00617070">
        <w:rPr>
          <w:rStyle w:val="apple-style-span"/>
          <w:sz w:val="22"/>
          <w:szCs w:val="22"/>
          <w:shd w:val="clear" w:color="auto" w:fill="FFFFFF"/>
          <w:lang w:val="en-US"/>
        </w:rPr>
        <w:t>production figures</w:t>
      </w:r>
      <w:r>
        <w:rPr>
          <w:rStyle w:val="apple-style-span"/>
          <w:sz w:val="22"/>
          <w:szCs w:val="22"/>
          <w:shd w:val="clear" w:color="auto" w:fill="FFFFFF"/>
          <w:lang w:val="en-US"/>
        </w:rPr>
        <w:t xml:space="preserve"> on this segment:</w:t>
      </w:r>
    </w:p>
    <w:p w:rsidR="00CF5769" w:rsidRPr="00334790" w:rsidRDefault="00CF5769" w:rsidP="00157967">
      <w:pPr>
        <w:tabs>
          <w:tab w:val="left" w:pos="426"/>
        </w:tabs>
        <w:ind w:left="-709" w:firstLine="709"/>
        <w:jc w:val="both"/>
        <w:rPr>
          <w:rStyle w:val="apple-style-span"/>
          <w:b/>
          <w:color w:val="FF0000"/>
          <w:sz w:val="22"/>
          <w:szCs w:val="22"/>
          <w:shd w:val="clear" w:color="auto" w:fill="FFFFFF"/>
          <w:lang w:val="en-US"/>
        </w:rPr>
      </w:pPr>
    </w:p>
    <w:tbl>
      <w:tblPr>
        <w:tblW w:w="10065" w:type="dxa"/>
        <w:tblInd w:w="-770" w:type="dxa"/>
        <w:tblLayout w:type="fixed"/>
        <w:tblLook w:val="04A0" w:firstRow="1" w:lastRow="0" w:firstColumn="1" w:lastColumn="0" w:noHBand="0" w:noVBand="1"/>
      </w:tblPr>
      <w:tblGrid>
        <w:gridCol w:w="8647"/>
        <w:gridCol w:w="1418"/>
      </w:tblGrid>
      <w:tr w:rsidR="002664E4" w:rsidRPr="00AE14C1" w:rsidTr="006F207E">
        <w:trPr>
          <w:trHeight w:val="485"/>
          <w:tblHeader/>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4E4" w:rsidRPr="00942511" w:rsidRDefault="002664E4" w:rsidP="00770BC8">
            <w:pPr>
              <w:jc w:val="center"/>
              <w:rPr>
                <w:b/>
                <w:bCs/>
                <w:color w:val="000000"/>
                <w:sz w:val="18"/>
                <w:szCs w:val="18"/>
                <w:lang w:val="en-US"/>
              </w:rPr>
            </w:pPr>
            <w:r>
              <w:rPr>
                <w:b/>
                <w:bCs/>
                <w:color w:val="000000"/>
                <w:sz w:val="18"/>
                <w:szCs w:val="18"/>
                <w:lang w:val="en-US"/>
              </w:rPr>
              <w:t>Factors</w:t>
            </w:r>
          </w:p>
        </w:tc>
        <w:tc>
          <w:tcPr>
            <w:tcW w:w="1418" w:type="dxa"/>
            <w:tcBorders>
              <w:top w:val="single" w:sz="4" w:space="0" w:color="auto"/>
              <w:left w:val="single" w:sz="4" w:space="0" w:color="auto"/>
              <w:bottom w:val="single" w:sz="4" w:space="0" w:color="auto"/>
              <w:right w:val="single" w:sz="4" w:space="0" w:color="auto"/>
            </w:tcBorders>
            <w:vAlign w:val="center"/>
          </w:tcPr>
          <w:p w:rsidR="002664E4" w:rsidRPr="00942511" w:rsidRDefault="002664E4" w:rsidP="00770BC8">
            <w:pPr>
              <w:jc w:val="center"/>
              <w:rPr>
                <w:b/>
                <w:bCs/>
                <w:color w:val="000000"/>
                <w:sz w:val="18"/>
                <w:szCs w:val="18"/>
                <w:lang w:val="en-US"/>
              </w:rPr>
            </w:pPr>
            <w:r>
              <w:rPr>
                <w:b/>
                <w:bCs/>
                <w:color w:val="000000"/>
                <w:sz w:val="18"/>
                <w:szCs w:val="18"/>
                <w:lang w:val="en-US"/>
              </w:rPr>
              <w:t xml:space="preserve">Changes, </w:t>
            </w:r>
            <w:r w:rsidR="000A43AE">
              <w:rPr>
                <w:b/>
                <w:bCs/>
                <w:color w:val="000000"/>
                <w:sz w:val="18"/>
                <w:szCs w:val="18"/>
                <w:lang w:val="en-US"/>
              </w:rPr>
              <w:t>billion</w:t>
            </w:r>
            <w:r>
              <w:rPr>
                <w:b/>
                <w:bCs/>
                <w:color w:val="000000"/>
                <w:sz w:val="18"/>
                <w:szCs w:val="18"/>
                <w:lang w:val="en-US"/>
              </w:rPr>
              <w:t xml:space="preserve"> KZT</w:t>
            </w:r>
          </w:p>
        </w:tc>
      </w:tr>
      <w:tr w:rsidR="0025193E" w:rsidRPr="00AE14C1" w:rsidTr="00CF5769">
        <w:trPr>
          <w:trHeight w:val="319"/>
        </w:trPr>
        <w:tc>
          <w:tcPr>
            <w:tcW w:w="8647" w:type="dxa"/>
            <w:tcBorders>
              <w:top w:val="single" w:sz="4" w:space="0" w:color="auto"/>
              <w:left w:val="single" w:sz="4" w:space="0" w:color="auto"/>
              <w:bottom w:val="single" w:sz="4" w:space="0" w:color="auto"/>
              <w:right w:val="single" w:sz="4" w:space="0" w:color="auto"/>
            </w:tcBorders>
            <w:shd w:val="clear" w:color="auto" w:fill="auto"/>
          </w:tcPr>
          <w:p w:rsidR="0025193E" w:rsidRPr="00D3190F" w:rsidRDefault="0025193E" w:rsidP="002525A7">
            <w:pPr>
              <w:rPr>
                <w:b/>
                <w:color w:val="000000"/>
                <w:sz w:val="18"/>
                <w:szCs w:val="18"/>
                <w:lang w:val="en-US"/>
              </w:rPr>
            </w:pPr>
            <w:r w:rsidRPr="00D3190F">
              <w:rPr>
                <w:b/>
                <w:color w:val="000000"/>
                <w:sz w:val="18"/>
                <w:szCs w:val="18"/>
                <w:lang w:val="en-US"/>
              </w:rPr>
              <w:t>Net income (KZT 168.1 billion for the period, net loss KZT -51.1 billion for the same period in 2011)</w:t>
            </w:r>
            <w:r w:rsidR="00685AC0">
              <w:rPr>
                <w:b/>
                <w:color w:val="000000"/>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C95387" w:rsidRDefault="0025193E" w:rsidP="00AF47B9">
            <w:pPr>
              <w:jc w:val="center"/>
              <w:rPr>
                <w:b/>
                <w:bCs/>
                <w:color w:val="000000"/>
                <w:sz w:val="18"/>
                <w:szCs w:val="18"/>
              </w:rPr>
            </w:pPr>
            <w:r w:rsidRPr="0025193E">
              <w:rPr>
                <w:b/>
                <w:bCs/>
                <w:color w:val="000000"/>
                <w:sz w:val="18"/>
                <w:szCs w:val="18"/>
                <w:lang w:val="en-US"/>
              </w:rPr>
              <w:t xml:space="preserve"> </w:t>
            </w:r>
            <w:r>
              <w:rPr>
                <w:b/>
                <w:bCs/>
                <w:color w:val="000000"/>
                <w:sz w:val="18"/>
                <w:szCs w:val="18"/>
              </w:rPr>
              <w:t>219,2</w:t>
            </w:r>
          </w:p>
        </w:tc>
      </w:tr>
      <w:tr w:rsidR="0025193E" w:rsidRPr="00C95387" w:rsidTr="00CF5769">
        <w:trPr>
          <w:trHeight w:val="273"/>
        </w:trPr>
        <w:tc>
          <w:tcPr>
            <w:tcW w:w="8647" w:type="dxa"/>
            <w:tcBorders>
              <w:top w:val="single" w:sz="4" w:space="0" w:color="auto"/>
              <w:left w:val="single" w:sz="4" w:space="0" w:color="auto"/>
              <w:bottom w:val="single" w:sz="4" w:space="0" w:color="auto"/>
              <w:right w:val="single" w:sz="4" w:space="0" w:color="auto"/>
            </w:tcBorders>
            <w:shd w:val="clear" w:color="auto" w:fill="auto"/>
          </w:tcPr>
          <w:p w:rsidR="0025193E" w:rsidRPr="00D3190F" w:rsidRDefault="0025193E" w:rsidP="00F43A59">
            <w:pPr>
              <w:rPr>
                <w:color w:val="000000"/>
                <w:sz w:val="18"/>
                <w:szCs w:val="18"/>
                <w:lang w:val="en-US"/>
              </w:rPr>
            </w:pPr>
            <w:r w:rsidRPr="00D3190F">
              <w:rPr>
                <w:b/>
                <w:color w:val="000000"/>
                <w:sz w:val="18"/>
                <w:szCs w:val="18"/>
                <w:lang w:val="en-US"/>
              </w:rPr>
              <w:t>Dividend income from subsidiaries</w:t>
            </w:r>
            <w:r w:rsidRPr="00D3190F">
              <w:rPr>
                <w:color w:val="000000"/>
                <w:sz w:val="18"/>
                <w:szCs w:val="18"/>
                <w:lang w:val="en-US"/>
              </w:rPr>
              <w:t xml:space="preserve"> increased due to the receipt of dividends from JSC “</w:t>
            </w:r>
            <w:proofErr w:type="spellStart"/>
            <w:r w:rsidRPr="00D3190F">
              <w:rPr>
                <w:color w:val="000000"/>
                <w:sz w:val="18"/>
                <w:szCs w:val="18"/>
                <w:lang w:val="en-US"/>
              </w:rPr>
              <w:t>Kazakhtelecom</w:t>
            </w:r>
            <w:proofErr w:type="spellEnd"/>
            <w:r w:rsidRPr="00D3190F">
              <w:rPr>
                <w:color w:val="000000"/>
                <w:sz w:val="18"/>
                <w:szCs w:val="18"/>
                <w:lang w:val="en-US"/>
              </w:rPr>
              <w:t>” in the 1st quarter of 2012 in the amount of KZT 103.4 billion, as well as changes in the standard for dividend accrual on the results of operations of subsidiaries for 2011 from 15% to 30 %</w:t>
            </w:r>
            <w:r w:rsidR="00F43A59">
              <w:rPr>
                <w:color w:val="000000"/>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95756A" w:rsidRDefault="0025193E" w:rsidP="00AF47B9">
            <w:pPr>
              <w:jc w:val="center"/>
              <w:rPr>
                <w:color w:val="000000"/>
                <w:sz w:val="18"/>
                <w:szCs w:val="18"/>
              </w:rPr>
            </w:pPr>
            <w:r w:rsidRPr="0095756A">
              <w:rPr>
                <w:color w:val="000000"/>
                <w:sz w:val="18"/>
                <w:szCs w:val="18"/>
              </w:rPr>
              <w:t>92,8</w:t>
            </w:r>
          </w:p>
        </w:tc>
      </w:tr>
      <w:tr w:rsidR="0025193E" w:rsidRPr="00C95387" w:rsidTr="00CF5769">
        <w:trPr>
          <w:trHeight w:val="418"/>
        </w:trPr>
        <w:tc>
          <w:tcPr>
            <w:tcW w:w="8647" w:type="dxa"/>
            <w:tcBorders>
              <w:top w:val="single" w:sz="4" w:space="0" w:color="auto"/>
              <w:left w:val="single" w:sz="4" w:space="0" w:color="auto"/>
              <w:bottom w:val="single" w:sz="4" w:space="0" w:color="auto"/>
              <w:right w:val="single" w:sz="4" w:space="0" w:color="auto"/>
            </w:tcBorders>
            <w:shd w:val="clear" w:color="auto" w:fill="auto"/>
          </w:tcPr>
          <w:p w:rsidR="0025193E" w:rsidRPr="00D3190F" w:rsidRDefault="0025193E" w:rsidP="002525A7">
            <w:pPr>
              <w:rPr>
                <w:color w:val="000000"/>
                <w:sz w:val="18"/>
                <w:szCs w:val="18"/>
                <w:lang w:val="en-US"/>
              </w:rPr>
            </w:pPr>
            <w:r w:rsidRPr="00D3190F">
              <w:rPr>
                <w:color w:val="000000"/>
                <w:sz w:val="18"/>
                <w:szCs w:val="18"/>
                <w:lang w:val="en-US"/>
              </w:rPr>
              <w:t xml:space="preserve">Reduction of loss on </w:t>
            </w:r>
            <w:r w:rsidRPr="00D3190F">
              <w:rPr>
                <w:b/>
                <w:color w:val="000000"/>
                <w:sz w:val="18"/>
                <w:szCs w:val="18"/>
                <w:lang w:val="en-US"/>
              </w:rPr>
              <w:t>impairment of investments in “BTA Bank” JSC and “Alliance Bank” JSC</w:t>
            </w:r>
            <w:r w:rsidRPr="00D3190F">
              <w:rPr>
                <w:color w:val="000000"/>
                <w:sz w:val="18"/>
                <w:szCs w:val="18"/>
                <w:lang w:val="en-US"/>
              </w:rPr>
              <w:t xml:space="preserve">, accrued in the first half of 2011 in </w:t>
            </w:r>
            <w:r w:rsidR="00F43A59">
              <w:rPr>
                <w:color w:val="000000"/>
                <w:sz w:val="18"/>
                <w:szCs w:val="18"/>
                <w:lang w:val="en-US"/>
              </w:rPr>
              <w:t>the amount of KZT 123.7 billion.</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95756A" w:rsidRDefault="0025193E" w:rsidP="00AF47B9">
            <w:pPr>
              <w:jc w:val="center"/>
              <w:rPr>
                <w:sz w:val="18"/>
                <w:szCs w:val="18"/>
              </w:rPr>
            </w:pPr>
            <w:r w:rsidRPr="0095756A">
              <w:rPr>
                <w:sz w:val="18"/>
                <w:szCs w:val="18"/>
              </w:rPr>
              <w:t>123,7</w:t>
            </w:r>
          </w:p>
        </w:tc>
      </w:tr>
      <w:tr w:rsidR="0025193E" w:rsidRPr="00C95387" w:rsidTr="00CF5769">
        <w:trPr>
          <w:trHeight w:val="318"/>
        </w:trPr>
        <w:tc>
          <w:tcPr>
            <w:tcW w:w="8647" w:type="dxa"/>
            <w:tcBorders>
              <w:top w:val="single" w:sz="4" w:space="0" w:color="auto"/>
              <w:left w:val="single" w:sz="4" w:space="0" w:color="auto"/>
              <w:bottom w:val="single" w:sz="4" w:space="0" w:color="auto"/>
              <w:right w:val="single" w:sz="4" w:space="0" w:color="auto"/>
            </w:tcBorders>
            <w:shd w:val="clear" w:color="auto" w:fill="auto"/>
          </w:tcPr>
          <w:p w:rsidR="00F43A59" w:rsidRPr="00D3190F" w:rsidRDefault="0025193E" w:rsidP="002525A7">
            <w:pPr>
              <w:rPr>
                <w:color w:val="000000"/>
                <w:sz w:val="18"/>
                <w:szCs w:val="18"/>
                <w:lang w:val="en-US"/>
              </w:rPr>
            </w:pPr>
            <w:r w:rsidRPr="00D3190F">
              <w:rPr>
                <w:b/>
                <w:color w:val="000000"/>
                <w:sz w:val="18"/>
                <w:szCs w:val="18"/>
                <w:lang w:val="en-US"/>
              </w:rPr>
              <w:t>Income on disposal of financial assets</w:t>
            </w:r>
            <w:r w:rsidRPr="00D3190F">
              <w:rPr>
                <w:color w:val="000000"/>
                <w:sz w:val="18"/>
                <w:szCs w:val="18"/>
                <w:lang w:val="en-US"/>
              </w:rPr>
              <w:t xml:space="preserve"> due to </w:t>
            </w:r>
            <w:proofErr w:type="spellStart"/>
            <w:r w:rsidRPr="00D3190F">
              <w:rPr>
                <w:color w:val="000000"/>
                <w:sz w:val="18"/>
                <w:szCs w:val="18"/>
                <w:lang w:val="en-US"/>
              </w:rPr>
              <w:t>derecognition</w:t>
            </w:r>
            <w:proofErr w:type="spellEnd"/>
            <w:r w:rsidRPr="00D3190F">
              <w:rPr>
                <w:color w:val="000000"/>
                <w:sz w:val="18"/>
                <w:szCs w:val="18"/>
                <w:lang w:val="en-US"/>
              </w:rPr>
              <w:t xml:space="preserve"> of liability on the option to purchase preferred shares of “Halyk Bank of Kazakhstan” JSC as a result of their implementation, taking into account the decrease in income from changes in </w:t>
            </w:r>
            <w:r w:rsidR="00F43A59">
              <w:rPr>
                <w:color w:val="000000"/>
                <w:sz w:val="18"/>
                <w:szCs w:val="18"/>
                <w:lang w:val="en-US"/>
              </w:rPr>
              <w:t>the options value, respectively.</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95756A" w:rsidRDefault="0025193E" w:rsidP="00AF47B9">
            <w:pPr>
              <w:jc w:val="center"/>
              <w:rPr>
                <w:sz w:val="18"/>
                <w:szCs w:val="18"/>
              </w:rPr>
            </w:pPr>
            <w:r w:rsidRPr="0095756A">
              <w:rPr>
                <w:sz w:val="18"/>
                <w:szCs w:val="18"/>
              </w:rPr>
              <w:t>4,5</w:t>
            </w:r>
          </w:p>
        </w:tc>
      </w:tr>
      <w:tr w:rsidR="0025193E" w:rsidRPr="009A363A" w:rsidTr="00CF5769">
        <w:trPr>
          <w:trHeight w:val="421"/>
        </w:trPr>
        <w:tc>
          <w:tcPr>
            <w:tcW w:w="8647" w:type="dxa"/>
            <w:tcBorders>
              <w:top w:val="single" w:sz="4" w:space="0" w:color="auto"/>
              <w:left w:val="single" w:sz="4" w:space="0" w:color="auto"/>
              <w:bottom w:val="single" w:sz="4" w:space="0" w:color="auto"/>
              <w:right w:val="single" w:sz="4" w:space="0" w:color="auto"/>
            </w:tcBorders>
            <w:shd w:val="clear" w:color="auto" w:fill="auto"/>
          </w:tcPr>
          <w:p w:rsidR="0025193E" w:rsidRPr="00D3190F" w:rsidRDefault="0025193E" w:rsidP="0025193E">
            <w:pPr>
              <w:rPr>
                <w:color w:val="000000"/>
                <w:sz w:val="18"/>
                <w:szCs w:val="18"/>
                <w:lang w:val="en-US"/>
              </w:rPr>
            </w:pPr>
            <w:r w:rsidRPr="00D3190F">
              <w:rPr>
                <w:color w:val="000000"/>
                <w:sz w:val="18"/>
                <w:szCs w:val="18"/>
                <w:lang w:val="en-US"/>
              </w:rPr>
              <w:t xml:space="preserve">Increase in </w:t>
            </w:r>
            <w:r w:rsidRPr="00D3190F">
              <w:rPr>
                <w:b/>
                <w:color w:val="000000"/>
                <w:sz w:val="18"/>
                <w:szCs w:val="18"/>
                <w:lang w:val="en-US"/>
              </w:rPr>
              <w:t>the impairment of financial assets</w:t>
            </w:r>
            <w:r w:rsidRPr="00D3190F">
              <w:rPr>
                <w:color w:val="000000"/>
                <w:sz w:val="18"/>
                <w:szCs w:val="18"/>
                <w:lang w:val="en-US"/>
              </w:rPr>
              <w:t xml:space="preserve"> on the means and deposits held in “BTA Bank” JSC, because of deteriorating financial condition of “BTA Bank” JSC.</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95756A" w:rsidRDefault="0025193E" w:rsidP="00AF47B9">
            <w:pPr>
              <w:jc w:val="center"/>
              <w:rPr>
                <w:sz w:val="18"/>
                <w:szCs w:val="18"/>
              </w:rPr>
            </w:pPr>
            <w:r w:rsidRPr="0095756A">
              <w:rPr>
                <w:sz w:val="18"/>
                <w:szCs w:val="18"/>
              </w:rPr>
              <w:t>11,4</w:t>
            </w:r>
          </w:p>
        </w:tc>
      </w:tr>
      <w:tr w:rsidR="0025193E" w:rsidRPr="00F43A59" w:rsidTr="00CF5769">
        <w:trPr>
          <w:trHeight w:val="34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5193E" w:rsidRPr="00D3190F" w:rsidRDefault="0025193E" w:rsidP="00685AC0">
            <w:pPr>
              <w:rPr>
                <w:color w:val="000000"/>
                <w:sz w:val="18"/>
                <w:szCs w:val="18"/>
                <w:lang w:val="en-US"/>
              </w:rPr>
            </w:pPr>
            <w:r w:rsidRPr="00D3190F">
              <w:rPr>
                <w:b/>
                <w:color w:val="000000"/>
                <w:sz w:val="18"/>
                <w:szCs w:val="18"/>
                <w:lang w:val="en-US"/>
              </w:rPr>
              <w:t>Reduction of GAC</w:t>
            </w:r>
            <w:r w:rsidRPr="00D3190F">
              <w:rPr>
                <w:color w:val="000000"/>
                <w:sz w:val="18"/>
                <w:szCs w:val="18"/>
                <w:lang w:val="en-US"/>
              </w:rPr>
              <w:t xml:space="preserve"> mainly due to sponsor and charitable aid</w:t>
            </w:r>
            <w:r w:rsidR="00F43A59">
              <w:rPr>
                <w:color w:val="000000"/>
                <w:sz w:val="18"/>
                <w:szCs w:val="18"/>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F43A59" w:rsidRDefault="004E699E" w:rsidP="00AF47B9">
            <w:pPr>
              <w:jc w:val="center"/>
              <w:rPr>
                <w:sz w:val="18"/>
                <w:szCs w:val="18"/>
                <w:lang w:val="en-US"/>
              </w:rPr>
            </w:pPr>
            <w:r>
              <w:rPr>
                <w:sz w:val="18"/>
                <w:szCs w:val="18"/>
                <w:lang w:val="en-US"/>
              </w:rPr>
              <w:t>- 2,6</w:t>
            </w:r>
          </w:p>
        </w:tc>
      </w:tr>
      <w:tr w:rsidR="0025193E" w:rsidRPr="00F43A59" w:rsidTr="00CF5769">
        <w:trPr>
          <w:trHeight w:val="273"/>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5193E" w:rsidRPr="00D3190F" w:rsidRDefault="0025193E" w:rsidP="0025193E">
            <w:pPr>
              <w:rPr>
                <w:color w:val="000000"/>
                <w:sz w:val="18"/>
                <w:szCs w:val="18"/>
                <w:lang w:val="en-US"/>
              </w:rPr>
            </w:pPr>
            <w:r w:rsidRPr="00D3190F">
              <w:rPr>
                <w:b/>
                <w:color w:val="000000"/>
                <w:sz w:val="18"/>
                <w:szCs w:val="18"/>
                <w:lang w:val="en-US"/>
              </w:rPr>
              <w:t xml:space="preserve">Reduction of income tax expenses </w:t>
            </w:r>
          </w:p>
        </w:tc>
        <w:tc>
          <w:tcPr>
            <w:tcW w:w="1418" w:type="dxa"/>
            <w:tcBorders>
              <w:top w:val="single" w:sz="4" w:space="0" w:color="auto"/>
              <w:left w:val="single" w:sz="4" w:space="0" w:color="auto"/>
              <w:bottom w:val="single" w:sz="4" w:space="0" w:color="auto"/>
              <w:right w:val="single" w:sz="4" w:space="0" w:color="auto"/>
            </w:tcBorders>
            <w:vAlign w:val="center"/>
          </w:tcPr>
          <w:p w:rsidR="0025193E" w:rsidRPr="00F43A59" w:rsidRDefault="0025193E" w:rsidP="00AF47B9">
            <w:pPr>
              <w:jc w:val="center"/>
              <w:rPr>
                <w:sz w:val="18"/>
                <w:szCs w:val="18"/>
                <w:lang w:val="en-US"/>
              </w:rPr>
            </w:pPr>
            <w:r w:rsidRPr="00F43A59">
              <w:rPr>
                <w:sz w:val="18"/>
                <w:szCs w:val="18"/>
                <w:lang w:val="en-US"/>
              </w:rPr>
              <w:t>-3,5</w:t>
            </w:r>
          </w:p>
        </w:tc>
      </w:tr>
    </w:tbl>
    <w:p w:rsidR="002664E4" w:rsidRDefault="002664E4" w:rsidP="002664E4">
      <w:pPr>
        <w:pStyle w:val="a3"/>
        <w:tabs>
          <w:tab w:val="left" w:pos="284"/>
          <w:tab w:val="left" w:pos="426"/>
        </w:tabs>
        <w:spacing w:line="276" w:lineRule="auto"/>
        <w:ind w:left="-709" w:firstLine="709"/>
        <w:jc w:val="both"/>
        <w:rPr>
          <w:sz w:val="22"/>
          <w:szCs w:val="22"/>
          <w:lang w:val="en-US"/>
        </w:rPr>
      </w:pPr>
    </w:p>
    <w:p w:rsidR="009D1CDA" w:rsidRPr="00ED5536" w:rsidRDefault="009D1CDA" w:rsidP="00ED5536">
      <w:pPr>
        <w:pStyle w:val="a3"/>
        <w:numPr>
          <w:ilvl w:val="1"/>
          <w:numId w:val="38"/>
        </w:numPr>
        <w:jc w:val="both"/>
        <w:rPr>
          <w:b/>
          <w:bCs/>
          <w:sz w:val="22"/>
          <w:szCs w:val="22"/>
          <w:lang w:val="en-US"/>
        </w:rPr>
      </w:pPr>
      <w:r w:rsidRPr="00ED5536">
        <w:rPr>
          <w:b/>
          <w:bCs/>
          <w:sz w:val="22"/>
          <w:szCs w:val="22"/>
          <w:lang w:val="en-US"/>
        </w:rPr>
        <w:lastRenderedPageBreak/>
        <w:t>Floating capital analysis</w:t>
      </w:r>
      <w:r w:rsidRPr="00F43A59">
        <w:rPr>
          <w:b/>
          <w:bCs/>
          <w:sz w:val="22"/>
          <w:szCs w:val="22"/>
          <w:lang w:val="en-US"/>
        </w:rPr>
        <w:t xml:space="preserve"> </w:t>
      </w:r>
    </w:p>
    <w:p w:rsidR="006D44BE" w:rsidRPr="006D44BE" w:rsidRDefault="006D44BE" w:rsidP="006D44BE">
      <w:pPr>
        <w:pStyle w:val="a3"/>
        <w:jc w:val="both"/>
        <w:rPr>
          <w:b/>
          <w:bCs/>
          <w:sz w:val="22"/>
          <w:szCs w:val="22"/>
          <w:lang w:val="en-US"/>
        </w:rPr>
      </w:pPr>
    </w:p>
    <w:p w:rsidR="009D1CDA" w:rsidRDefault="009D1CDA" w:rsidP="009D1CDA">
      <w:pPr>
        <w:jc w:val="both"/>
        <w:rPr>
          <w:rStyle w:val="apple-style-span"/>
          <w:sz w:val="22"/>
          <w:szCs w:val="22"/>
          <w:shd w:val="clear" w:color="auto" w:fill="FFFFFF"/>
          <w:lang w:val="en-US"/>
        </w:rPr>
      </w:pPr>
      <w:r w:rsidRPr="006D44BE">
        <w:rPr>
          <w:b/>
          <w:bCs/>
          <w:sz w:val="18"/>
          <w:szCs w:val="18"/>
          <w:lang w:val="en-US"/>
        </w:rPr>
        <w:t xml:space="preserve"> </w:t>
      </w:r>
      <w:r w:rsidR="006D44BE" w:rsidRPr="008252D9">
        <w:rPr>
          <w:rStyle w:val="apple-style-span"/>
          <w:sz w:val="22"/>
          <w:szCs w:val="22"/>
          <w:shd w:val="clear" w:color="auto" w:fill="FFFFFF"/>
          <w:lang w:val="en-US"/>
        </w:rPr>
        <w:t>The</w:t>
      </w:r>
      <w:r w:rsidR="006D44BE">
        <w:rPr>
          <w:rStyle w:val="apple-style-span"/>
          <w:sz w:val="22"/>
          <w:szCs w:val="22"/>
          <w:shd w:val="clear" w:color="auto" w:fill="FFFFFF"/>
          <w:lang w:val="en-US"/>
        </w:rPr>
        <w:t xml:space="preserve"> </w:t>
      </w:r>
      <w:r w:rsidR="006D44BE" w:rsidRPr="008252D9">
        <w:rPr>
          <w:rStyle w:val="apple-style-span"/>
          <w:sz w:val="22"/>
          <w:szCs w:val="22"/>
          <w:shd w:val="clear" w:color="auto" w:fill="FFFFFF"/>
          <w:lang w:val="en-US"/>
        </w:rPr>
        <w:t xml:space="preserve">main factors </w:t>
      </w:r>
      <w:r w:rsidR="006D44BE">
        <w:rPr>
          <w:rStyle w:val="apple-style-span"/>
          <w:sz w:val="22"/>
          <w:szCs w:val="22"/>
          <w:shd w:val="clear" w:color="auto" w:fill="FFFFFF"/>
          <w:lang w:val="en-US"/>
        </w:rPr>
        <w:t>of changing are as follows:</w:t>
      </w:r>
    </w:p>
    <w:p w:rsidR="00685AC0" w:rsidRPr="006D44BE" w:rsidRDefault="00685AC0" w:rsidP="009D1CDA">
      <w:pPr>
        <w:jc w:val="both"/>
        <w:rPr>
          <w:b/>
          <w:color w:val="000000" w:themeColor="text1"/>
          <w:sz w:val="22"/>
          <w:szCs w:val="22"/>
          <w:lang w:val="en-US"/>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992"/>
        <w:gridCol w:w="992"/>
        <w:gridCol w:w="851"/>
        <w:gridCol w:w="850"/>
        <w:gridCol w:w="3686"/>
      </w:tblGrid>
      <w:tr w:rsidR="006D44BE" w:rsidRPr="00DD6B56" w:rsidTr="006D44BE">
        <w:trPr>
          <w:trHeight w:val="502"/>
        </w:trPr>
        <w:tc>
          <w:tcPr>
            <w:tcW w:w="2694" w:type="dxa"/>
            <w:shd w:val="clear" w:color="auto" w:fill="auto"/>
            <w:vAlign w:val="center"/>
            <w:hideMark/>
          </w:tcPr>
          <w:p w:rsidR="006D44BE" w:rsidRPr="009D1CDA" w:rsidRDefault="006D44BE" w:rsidP="009D1CDA">
            <w:pPr>
              <w:jc w:val="center"/>
              <w:rPr>
                <w:b/>
                <w:bCs/>
                <w:sz w:val="18"/>
                <w:szCs w:val="18"/>
                <w:lang w:val="en-US"/>
              </w:rPr>
            </w:pPr>
            <w:r w:rsidRPr="006D44BE">
              <w:rPr>
                <w:b/>
                <w:bCs/>
                <w:sz w:val="18"/>
                <w:szCs w:val="18"/>
                <w:lang w:val="en-US"/>
              </w:rPr>
              <w:t xml:space="preserve"> </w:t>
            </w:r>
            <w:r>
              <w:rPr>
                <w:b/>
                <w:bCs/>
                <w:sz w:val="18"/>
                <w:szCs w:val="18"/>
                <w:lang w:val="en-US"/>
              </w:rPr>
              <w:t xml:space="preserve">Name </w:t>
            </w:r>
          </w:p>
        </w:tc>
        <w:tc>
          <w:tcPr>
            <w:tcW w:w="992" w:type="dxa"/>
            <w:vAlign w:val="center"/>
          </w:tcPr>
          <w:p w:rsidR="006D44BE" w:rsidRPr="00AE14C1" w:rsidRDefault="006D44BE" w:rsidP="00AF47B9">
            <w:pPr>
              <w:jc w:val="center"/>
              <w:rPr>
                <w:b/>
                <w:bCs/>
                <w:sz w:val="18"/>
                <w:szCs w:val="18"/>
                <w:lang w:val="en-US"/>
              </w:rPr>
            </w:pPr>
            <w:r>
              <w:rPr>
                <w:b/>
                <w:bCs/>
                <w:sz w:val="18"/>
                <w:szCs w:val="18"/>
                <w:lang w:val="en-US" w:eastAsia="en-US"/>
              </w:rPr>
              <w:t>H</w:t>
            </w:r>
            <w:r>
              <w:rPr>
                <w:b/>
                <w:bCs/>
                <w:sz w:val="18"/>
                <w:szCs w:val="18"/>
                <w:lang w:eastAsia="en-US"/>
              </w:rPr>
              <w:t>1 2012</w:t>
            </w:r>
            <w:r w:rsidRPr="00AE14C1">
              <w:rPr>
                <w:b/>
                <w:bCs/>
                <w:sz w:val="18"/>
                <w:szCs w:val="18"/>
                <w:lang w:val="en-US" w:eastAsia="en-US"/>
              </w:rPr>
              <w:t xml:space="preserve"> </w:t>
            </w:r>
          </w:p>
        </w:tc>
        <w:tc>
          <w:tcPr>
            <w:tcW w:w="992" w:type="dxa"/>
            <w:shd w:val="clear" w:color="auto" w:fill="auto"/>
            <w:vAlign w:val="center"/>
            <w:hideMark/>
          </w:tcPr>
          <w:p w:rsidR="006D44BE" w:rsidRPr="00AE14C1" w:rsidRDefault="006D44BE" w:rsidP="00AF47B9">
            <w:pPr>
              <w:jc w:val="center"/>
              <w:rPr>
                <w:b/>
                <w:bCs/>
                <w:sz w:val="18"/>
                <w:szCs w:val="18"/>
                <w:lang w:val="en-US"/>
              </w:rPr>
            </w:pPr>
            <w:r>
              <w:rPr>
                <w:b/>
                <w:bCs/>
                <w:sz w:val="18"/>
                <w:szCs w:val="18"/>
                <w:lang w:val="en-US" w:eastAsia="en-US"/>
              </w:rPr>
              <w:t>H1 2011</w:t>
            </w:r>
            <w:r w:rsidRPr="00AE14C1">
              <w:rPr>
                <w:b/>
                <w:bCs/>
                <w:sz w:val="18"/>
                <w:szCs w:val="18"/>
                <w:lang w:val="en-US" w:eastAsia="en-US"/>
              </w:rPr>
              <w:t xml:space="preserve"> </w:t>
            </w:r>
          </w:p>
        </w:tc>
        <w:tc>
          <w:tcPr>
            <w:tcW w:w="851" w:type="dxa"/>
            <w:shd w:val="clear" w:color="auto" w:fill="auto"/>
            <w:vAlign w:val="center"/>
            <w:hideMark/>
          </w:tcPr>
          <w:p w:rsidR="006D44BE" w:rsidRPr="004906E2" w:rsidRDefault="006D44BE" w:rsidP="009D1CDA">
            <w:pPr>
              <w:jc w:val="center"/>
              <w:rPr>
                <w:b/>
                <w:bCs/>
                <w:sz w:val="18"/>
                <w:szCs w:val="18"/>
              </w:rPr>
            </w:pPr>
            <w:r>
              <w:rPr>
                <w:b/>
                <w:bCs/>
                <w:sz w:val="18"/>
                <w:szCs w:val="18"/>
                <w:lang w:val="en-US"/>
              </w:rPr>
              <w:t xml:space="preserve">Change (+/-) </w:t>
            </w:r>
            <w:r w:rsidRPr="004906E2">
              <w:rPr>
                <w:b/>
                <w:bCs/>
                <w:sz w:val="18"/>
                <w:szCs w:val="18"/>
              </w:rPr>
              <w:t xml:space="preserve"> </w:t>
            </w:r>
          </w:p>
        </w:tc>
        <w:tc>
          <w:tcPr>
            <w:tcW w:w="850" w:type="dxa"/>
            <w:shd w:val="clear" w:color="auto" w:fill="auto"/>
            <w:vAlign w:val="center"/>
            <w:hideMark/>
          </w:tcPr>
          <w:p w:rsidR="006D44BE" w:rsidRPr="009D1CDA" w:rsidRDefault="006D44BE" w:rsidP="009D1CDA">
            <w:pPr>
              <w:jc w:val="center"/>
              <w:rPr>
                <w:b/>
                <w:bCs/>
                <w:sz w:val="18"/>
                <w:szCs w:val="18"/>
                <w:lang w:val="en-US"/>
              </w:rPr>
            </w:pPr>
            <w:r>
              <w:rPr>
                <w:b/>
                <w:bCs/>
                <w:sz w:val="18"/>
                <w:szCs w:val="18"/>
                <w:lang w:val="en-US"/>
              </w:rPr>
              <w:t>Change (%)</w:t>
            </w:r>
          </w:p>
        </w:tc>
        <w:tc>
          <w:tcPr>
            <w:tcW w:w="3686" w:type="dxa"/>
            <w:shd w:val="clear" w:color="auto" w:fill="auto"/>
            <w:vAlign w:val="center"/>
            <w:hideMark/>
          </w:tcPr>
          <w:p w:rsidR="006D44BE" w:rsidRPr="009D1CDA" w:rsidRDefault="006D44BE" w:rsidP="009D1CDA">
            <w:pPr>
              <w:jc w:val="center"/>
              <w:rPr>
                <w:b/>
                <w:bCs/>
                <w:sz w:val="18"/>
                <w:szCs w:val="18"/>
                <w:lang w:val="en-US"/>
              </w:rPr>
            </w:pPr>
            <w:r>
              <w:rPr>
                <w:b/>
                <w:bCs/>
                <w:sz w:val="18"/>
                <w:szCs w:val="18"/>
                <w:lang w:val="en-US"/>
              </w:rPr>
              <w:t xml:space="preserve">Factors </w:t>
            </w:r>
          </w:p>
        </w:tc>
      </w:tr>
      <w:tr w:rsidR="006D44BE" w:rsidRPr="00353DB4" w:rsidTr="006D44BE">
        <w:trPr>
          <w:trHeight w:val="440"/>
        </w:trPr>
        <w:tc>
          <w:tcPr>
            <w:tcW w:w="2694" w:type="dxa"/>
            <w:shd w:val="clear" w:color="auto" w:fill="auto"/>
            <w:vAlign w:val="center"/>
            <w:hideMark/>
          </w:tcPr>
          <w:p w:rsidR="006D44BE" w:rsidRPr="009D1CDA" w:rsidRDefault="006D44BE" w:rsidP="009D1CDA">
            <w:pPr>
              <w:rPr>
                <w:color w:val="000000"/>
                <w:sz w:val="18"/>
                <w:szCs w:val="18"/>
                <w:lang w:val="en-US"/>
              </w:rPr>
            </w:pPr>
            <w:r>
              <w:rPr>
                <w:color w:val="000000"/>
                <w:sz w:val="18"/>
                <w:szCs w:val="18"/>
                <w:lang w:val="en-US"/>
              </w:rPr>
              <w:t>Capital t</w:t>
            </w:r>
            <w:r w:rsidRPr="009D1CDA">
              <w:rPr>
                <w:color w:val="000000"/>
                <w:sz w:val="18"/>
                <w:szCs w:val="18"/>
                <w:lang w:val="en-US"/>
              </w:rPr>
              <w:t xml:space="preserve">urnover </w:t>
            </w:r>
            <w:r>
              <w:rPr>
                <w:color w:val="000000"/>
                <w:sz w:val="18"/>
                <w:szCs w:val="18"/>
                <w:lang w:val="en-US"/>
              </w:rPr>
              <w:t>in</w:t>
            </w:r>
            <w:r w:rsidRPr="009D1CDA">
              <w:rPr>
                <w:color w:val="000000"/>
                <w:sz w:val="18"/>
                <w:szCs w:val="18"/>
                <w:lang w:val="en-US"/>
              </w:rPr>
              <w:t xml:space="preserve"> credit institutions</w:t>
            </w:r>
            <w:r w:rsidRPr="009D1CDA">
              <w:rPr>
                <w:rStyle w:val="af5"/>
                <w:color w:val="000000"/>
                <w:sz w:val="18"/>
                <w:szCs w:val="18"/>
                <w:vertAlign w:val="baseline"/>
                <w:lang w:val="en-US"/>
              </w:rPr>
              <w:t xml:space="preserve"> </w:t>
            </w:r>
            <w:r>
              <w:rPr>
                <w:rStyle w:val="af5"/>
                <w:color w:val="000000"/>
                <w:sz w:val="18"/>
                <w:szCs w:val="18"/>
              </w:rPr>
              <w:footnoteReference w:id="8"/>
            </w:r>
          </w:p>
        </w:tc>
        <w:tc>
          <w:tcPr>
            <w:tcW w:w="992" w:type="dxa"/>
            <w:vAlign w:val="center"/>
          </w:tcPr>
          <w:p w:rsidR="006D44BE" w:rsidRPr="004906E2" w:rsidRDefault="006D44BE" w:rsidP="00AF47B9">
            <w:pPr>
              <w:jc w:val="center"/>
              <w:rPr>
                <w:color w:val="000000"/>
                <w:sz w:val="18"/>
                <w:szCs w:val="18"/>
              </w:rPr>
            </w:pPr>
            <w:r>
              <w:rPr>
                <w:color w:val="000000"/>
                <w:sz w:val="18"/>
                <w:szCs w:val="18"/>
              </w:rPr>
              <w:t>2,02</w:t>
            </w:r>
          </w:p>
        </w:tc>
        <w:tc>
          <w:tcPr>
            <w:tcW w:w="992"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1,6</w:t>
            </w:r>
          </w:p>
        </w:tc>
        <w:tc>
          <w:tcPr>
            <w:tcW w:w="851"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0,42</w:t>
            </w:r>
          </w:p>
        </w:tc>
        <w:tc>
          <w:tcPr>
            <w:tcW w:w="850" w:type="dxa"/>
            <w:shd w:val="clear" w:color="auto" w:fill="auto"/>
            <w:vAlign w:val="center"/>
            <w:hideMark/>
          </w:tcPr>
          <w:p w:rsidR="006D44BE" w:rsidRPr="004906E2" w:rsidRDefault="006D44BE" w:rsidP="00AF47B9">
            <w:pPr>
              <w:jc w:val="center"/>
              <w:rPr>
                <w:sz w:val="18"/>
                <w:szCs w:val="18"/>
              </w:rPr>
            </w:pPr>
            <w:r>
              <w:rPr>
                <w:sz w:val="18"/>
                <w:szCs w:val="18"/>
              </w:rPr>
              <w:t>26</w:t>
            </w:r>
          </w:p>
        </w:tc>
        <w:tc>
          <w:tcPr>
            <w:tcW w:w="3686" w:type="dxa"/>
            <w:vAlign w:val="center"/>
            <w:hideMark/>
          </w:tcPr>
          <w:p w:rsidR="006D44BE" w:rsidRPr="009D1CDA" w:rsidRDefault="00756CEE" w:rsidP="00756CEE">
            <w:pPr>
              <w:rPr>
                <w:color w:val="000000"/>
                <w:sz w:val="18"/>
                <w:szCs w:val="18"/>
                <w:lang w:val="en-US"/>
              </w:rPr>
            </w:pPr>
            <w:r w:rsidRPr="00756CEE">
              <w:rPr>
                <w:color w:val="000000"/>
                <w:sz w:val="18"/>
                <w:szCs w:val="18"/>
                <w:lang w:val="en-US"/>
              </w:rPr>
              <w:t xml:space="preserve">Improvement is attributed to the increase in revenues from the sale of primarily petroleum products, freight rail transportation, sale of crude oil. Moreover, in the reporting period </w:t>
            </w:r>
            <w:r>
              <w:rPr>
                <w:color w:val="000000"/>
                <w:sz w:val="18"/>
                <w:szCs w:val="18"/>
                <w:lang w:val="en-US"/>
              </w:rPr>
              <w:t xml:space="preserve">the </w:t>
            </w:r>
            <w:r w:rsidRPr="00756CEE">
              <w:rPr>
                <w:color w:val="000000"/>
                <w:sz w:val="18"/>
                <w:szCs w:val="18"/>
                <w:lang w:val="en-US"/>
              </w:rPr>
              <w:t>credit institutions</w:t>
            </w:r>
            <w:r>
              <w:rPr>
                <w:color w:val="000000"/>
                <w:sz w:val="18"/>
                <w:szCs w:val="18"/>
                <w:lang w:val="en-US"/>
              </w:rPr>
              <w:t xml:space="preserve"> means </w:t>
            </w:r>
            <w:r w:rsidRPr="00756CEE">
              <w:rPr>
                <w:color w:val="000000"/>
                <w:sz w:val="18"/>
                <w:szCs w:val="18"/>
                <w:lang w:val="en-US"/>
              </w:rPr>
              <w:t>decreased by 3% mainly due to funds placed in bank deposits.</w:t>
            </w:r>
          </w:p>
        </w:tc>
      </w:tr>
      <w:tr w:rsidR="006D44BE" w:rsidRPr="00B5391C" w:rsidTr="006D44BE">
        <w:trPr>
          <w:trHeight w:val="562"/>
        </w:trPr>
        <w:tc>
          <w:tcPr>
            <w:tcW w:w="2694" w:type="dxa"/>
            <w:shd w:val="clear" w:color="auto" w:fill="auto"/>
            <w:vAlign w:val="center"/>
            <w:hideMark/>
          </w:tcPr>
          <w:p w:rsidR="006D44BE" w:rsidRPr="004906E2" w:rsidRDefault="006D44BE" w:rsidP="009D1CDA">
            <w:pPr>
              <w:rPr>
                <w:color w:val="000000"/>
                <w:sz w:val="18"/>
                <w:szCs w:val="18"/>
              </w:rPr>
            </w:pPr>
            <w:proofErr w:type="spellStart"/>
            <w:r w:rsidRPr="009D1CDA">
              <w:rPr>
                <w:color w:val="000000"/>
                <w:sz w:val="18"/>
                <w:szCs w:val="18"/>
              </w:rPr>
              <w:t>Trade</w:t>
            </w:r>
            <w:proofErr w:type="spellEnd"/>
            <w:r>
              <w:rPr>
                <w:color w:val="000000"/>
                <w:sz w:val="18"/>
                <w:szCs w:val="18"/>
                <w:lang w:val="en-US"/>
              </w:rPr>
              <w:t xml:space="preserve"> </w:t>
            </w:r>
            <w:r w:rsidRPr="009D1CDA">
              <w:rPr>
                <w:color w:val="000000"/>
                <w:sz w:val="18"/>
                <w:szCs w:val="18"/>
              </w:rPr>
              <w:t xml:space="preserve"> </w:t>
            </w:r>
            <w:proofErr w:type="spellStart"/>
            <w:r w:rsidRPr="009D1CDA">
              <w:rPr>
                <w:color w:val="000000"/>
                <w:sz w:val="18"/>
                <w:szCs w:val="18"/>
              </w:rPr>
              <w:t>receivables</w:t>
            </w:r>
            <w:proofErr w:type="spellEnd"/>
            <w:r>
              <w:rPr>
                <w:color w:val="000000"/>
                <w:sz w:val="18"/>
                <w:szCs w:val="18"/>
                <w:lang w:val="en-US"/>
              </w:rPr>
              <w:t xml:space="preserve"> turnover</w:t>
            </w:r>
            <w:r w:rsidRPr="009D1CDA">
              <w:rPr>
                <w:rStyle w:val="af5"/>
                <w:color w:val="000000"/>
                <w:sz w:val="18"/>
                <w:szCs w:val="18"/>
                <w:vertAlign w:val="baseline"/>
              </w:rPr>
              <w:t xml:space="preserve"> </w:t>
            </w:r>
            <w:r>
              <w:rPr>
                <w:rStyle w:val="af5"/>
                <w:color w:val="000000"/>
                <w:sz w:val="18"/>
                <w:szCs w:val="18"/>
              </w:rPr>
              <w:footnoteReference w:id="9"/>
            </w:r>
          </w:p>
        </w:tc>
        <w:tc>
          <w:tcPr>
            <w:tcW w:w="992" w:type="dxa"/>
            <w:vAlign w:val="center"/>
          </w:tcPr>
          <w:p w:rsidR="006D44BE" w:rsidRPr="004906E2" w:rsidRDefault="006D44BE" w:rsidP="00AF47B9">
            <w:pPr>
              <w:jc w:val="center"/>
              <w:rPr>
                <w:color w:val="000000"/>
                <w:sz w:val="18"/>
                <w:szCs w:val="18"/>
              </w:rPr>
            </w:pPr>
            <w:r>
              <w:rPr>
                <w:color w:val="000000"/>
                <w:sz w:val="18"/>
                <w:szCs w:val="18"/>
              </w:rPr>
              <w:t>7,9</w:t>
            </w:r>
          </w:p>
        </w:tc>
        <w:tc>
          <w:tcPr>
            <w:tcW w:w="992"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7,8</w:t>
            </w:r>
          </w:p>
        </w:tc>
        <w:tc>
          <w:tcPr>
            <w:tcW w:w="851"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0,1</w:t>
            </w:r>
          </w:p>
        </w:tc>
        <w:tc>
          <w:tcPr>
            <w:tcW w:w="850" w:type="dxa"/>
            <w:shd w:val="clear" w:color="auto" w:fill="auto"/>
            <w:vAlign w:val="center"/>
            <w:hideMark/>
          </w:tcPr>
          <w:p w:rsidR="006D44BE" w:rsidRPr="004906E2" w:rsidRDefault="006D44BE" w:rsidP="00AF47B9">
            <w:pPr>
              <w:jc w:val="center"/>
              <w:rPr>
                <w:sz w:val="18"/>
                <w:szCs w:val="18"/>
              </w:rPr>
            </w:pPr>
            <w:r>
              <w:rPr>
                <w:sz w:val="18"/>
                <w:szCs w:val="18"/>
              </w:rPr>
              <w:t>1</w:t>
            </w:r>
          </w:p>
        </w:tc>
        <w:tc>
          <w:tcPr>
            <w:tcW w:w="3686" w:type="dxa"/>
            <w:vAlign w:val="center"/>
            <w:hideMark/>
          </w:tcPr>
          <w:p w:rsidR="006D44BE" w:rsidRPr="009D1CDA" w:rsidRDefault="006D44BE" w:rsidP="00756CEE">
            <w:pPr>
              <w:rPr>
                <w:color w:val="000000"/>
                <w:sz w:val="18"/>
                <w:szCs w:val="18"/>
                <w:lang w:val="en-US"/>
              </w:rPr>
            </w:pPr>
            <w:r w:rsidRPr="009D1CDA">
              <w:rPr>
                <w:color w:val="000000"/>
                <w:sz w:val="18"/>
                <w:szCs w:val="18"/>
                <w:lang w:val="en-US"/>
              </w:rPr>
              <w:t>Improv</w:t>
            </w:r>
            <w:r>
              <w:rPr>
                <w:color w:val="000000"/>
                <w:sz w:val="18"/>
                <w:szCs w:val="18"/>
                <w:lang w:val="en-US"/>
              </w:rPr>
              <w:t>ement of</w:t>
            </w:r>
            <w:r w:rsidRPr="009D1CDA">
              <w:rPr>
                <w:color w:val="000000"/>
                <w:sz w:val="18"/>
                <w:szCs w:val="18"/>
                <w:lang w:val="en-US"/>
              </w:rPr>
              <w:t xml:space="preserve"> the rate </w:t>
            </w:r>
            <w:r>
              <w:rPr>
                <w:color w:val="000000"/>
                <w:sz w:val="18"/>
                <w:szCs w:val="18"/>
                <w:lang w:val="en-US"/>
              </w:rPr>
              <w:t xml:space="preserve">is </w:t>
            </w:r>
            <w:r w:rsidRPr="009D1CDA">
              <w:rPr>
                <w:color w:val="000000"/>
                <w:sz w:val="18"/>
                <w:szCs w:val="18"/>
                <w:lang w:val="en-US"/>
              </w:rPr>
              <w:t xml:space="preserve">associated with the excess of revenue growth from sales </w:t>
            </w:r>
            <w:r>
              <w:rPr>
                <w:color w:val="000000"/>
                <w:sz w:val="18"/>
                <w:szCs w:val="18"/>
                <w:lang w:val="en-US"/>
              </w:rPr>
              <w:t xml:space="preserve">over </w:t>
            </w:r>
            <w:r w:rsidRPr="009D1CDA">
              <w:rPr>
                <w:color w:val="000000"/>
                <w:sz w:val="18"/>
                <w:szCs w:val="18"/>
                <w:lang w:val="en-US"/>
              </w:rPr>
              <w:t>the growth of trade receivables</w:t>
            </w:r>
            <w:r w:rsidR="00756CEE">
              <w:rPr>
                <w:color w:val="000000"/>
                <w:sz w:val="18"/>
                <w:szCs w:val="18"/>
                <w:lang w:val="en-US"/>
              </w:rPr>
              <w:t xml:space="preserve">. </w:t>
            </w:r>
            <w:r w:rsidR="00756CEE" w:rsidRPr="00756CEE">
              <w:rPr>
                <w:color w:val="000000"/>
                <w:sz w:val="18"/>
                <w:szCs w:val="18"/>
                <w:lang w:val="en-US"/>
              </w:rPr>
              <w:t>Factors</w:t>
            </w:r>
            <w:r w:rsidR="00756CEE">
              <w:rPr>
                <w:color w:val="000000"/>
                <w:sz w:val="18"/>
                <w:szCs w:val="18"/>
                <w:lang w:val="en-US"/>
              </w:rPr>
              <w:t xml:space="preserve"> of</w:t>
            </w:r>
            <w:r w:rsidR="00756CEE" w:rsidRPr="00756CEE">
              <w:rPr>
                <w:color w:val="000000"/>
                <w:sz w:val="18"/>
                <w:szCs w:val="18"/>
                <w:lang w:val="en-US"/>
              </w:rPr>
              <w:t xml:space="preserve"> sale</w:t>
            </w:r>
            <w:r w:rsidR="00756CEE">
              <w:rPr>
                <w:color w:val="000000"/>
                <w:sz w:val="18"/>
                <w:szCs w:val="18"/>
                <w:lang w:val="en-US"/>
              </w:rPr>
              <w:t>s</w:t>
            </w:r>
            <w:r w:rsidR="00756CEE" w:rsidRPr="00756CEE">
              <w:rPr>
                <w:color w:val="000000"/>
                <w:sz w:val="18"/>
                <w:szCs w:val="18"/>
                <w:lang w:val="en-US"/>
              </w:rPr>
              <w:t xml:space="preserve"> income </w:t>
            </w:r>
            <w:r w:rsidR="00756CEE">
              <w:rPr>
                <w:color w:val="000000"/>
                <w:sz w:val="18"/>
                <w:szCs w:val="18"/>
                <w:lang w:val="en-US"/>
              </w:rPr>
              <w:t>g</w:t>
            </w:r>
            <w:r w:rsidR="00756CEE" w:rsidRPr="00756CEE">
              <w:rPr>
                <w:color w:val="000000"/>
                <w:sz w:val="18"/>
                <w:szCs w:val="18"/>
                <w:lang w:val="en-US"/>
              </w:rPr>
              <w:t xml:space="preserve">rowth </w:t>
            </w:r>
            <w:r w:rsidR="00756CEE">
              <w:rPr>
                <w:color w:val="000000"/>
                <w:sz w:val="18"/>
                <w:szCs w:val="18"/>
                <w:lang w:val="en-US"/>
              </w:rPr>
              <w:t xml:space="preserve">are </w:t>
            </w:r>
            <w:r w:rsidR="00756CEE" w:rsidRPr="00756CEE">
              <w:rPr>
                <w:color w:val="000000"/>
                <w:sz w:val="18"/>
                <w:szCs w:val="18"/>
                <w:lang w:val="en-US"/>
              </w:rPr>
              <w:t>mentioned above, the increase of accounts receivable was 12%.</w:t>
            </w:r>
          </w:p>
        </w:tc>
      </w:tr>
      <w:tr w:rsidR="006D44BE" w:rsidRPr="00B5391C" w:rsidTr="006D44BE">
        <w:trPr>
          <w:trHeight w:val="556"/>
        </w:trPr>
        <w:tc>
          <w:tcPr>
            <w:tcW w:w="2694" w:type="dxa"/>
            <w:shd w:val="clear" w:color="auto" w:fill="auto"/>
            <w:vAlign w:val="center"/>
            <w:hideMark/>
          </w:tcPr>
          <w:p w:rsidR="006D44BE" w:rsidRPr="00756CEE" w:rsidRDefault="006D44BE" w:rsidP="009D1CDA">
            <w:pPr>
              <w:rPr>
                <w:color w:val="000000"/>
                <w:sz w:val="18"/>
                <w:szCs w:val="18"/>
                <w:lang w:val="en-US"/>
              </w:rPr>
            </w:pPr>
            <w:r>
              <w:rPr>
                <w:color w:val="000000"/>
                <w:sz w:val="18"/>
                <w:szCs w:val="18"/>
                <w:lang w:val="en-US"/>
              </w:rPr>
              <w:t>Capital turnover</w:t>
            </w:r>
            <w:r w:rsidRPr="00756CEE">
              <w:rPr>
                <w:rStyle w:val="af5"/>
                <w:color w:val="000000"/>
                <w:sz w:val="18"/>
                <w:szCs w:val="18"/>
                <w:vertAlign w:val="baseline"/>
                <w:lang w:val="en-US"/>
              </w:rPr>
              <w:t xml:space="preserve"> </w:t>
            </w:r>
            <w:r>
              <w:rPr>
                <w:rStyle w:val="af5"/>
                <w:color w:val="000000"/>
                <w:sz w:val="18"/>
                <w:szCs w:val="18"/>
              </w:rPr>
              <w:footnoteReference w:id="10"/>
            </w:r>
          </w:p>
        </w:tc>
        <w:tc>
          <w:tcPr>
            <w:tcW w:w="992" w:type="dxa"/>
            <w:vAlign w:val="center"/>
          </w:tcPr>
          <w:p w:rsidR="006D44BE" w:rsidRPr="00756CEE" w:rsidRDefault="006D44BE" w:rsidP="00AF47B9">
            <w:pPr>
              <w:jc w:val="center"/>
              <w:rPr>
                <w:color w:val="000000"/>
                <w:sz w:val="18"/>
                <w:szCs w:val="18"/>
                <w:lang w:val="en-US"/>
              </w:rPr>
            </w:pPr>
            <w:r w:rsidRPr="00756CEE">
              <w:rPr>
                <w:color w:val="000000"/>
                <w:sz w:val="18"/>
                <w:szCs w:val="18"/>
                <w:lang w:val="en-US"/>
              </w:rPr>
              <w:t>1,4</w:t>
            </w:r>
          </w:p>
        </w:tc>
        <w:tc>
          <w:tcPr>
            <w:tcW w:w="992" w:type="dxa"/>
            <w:shd w:val="clear" w:color="auto" w:fill="auto"/>
            <w:vAlign w:val="center"/>
            <w:hideMark/>
          </w:tcPr>
          <w:p w:rsidR="006D44BE" w:rsidRPr="00756CEE" w:rsidRDefault="006D44BE" w:rsidP="00AF47B9">
            <w:pPr>
              <w:jc w:val="center"/>
              <w:rPr>
                <w:color w:val="000000"/>
                <w:sz w:val="18"/>
                <w:szCs w:val="18"/>
                <w:lang w:val="en-US"/>
              </w:rPr>
            </w:pPr>
            <w:r w:rsidRPr="00756CEE">
              <w:rPr>
                <w:color w:val="000000"/>
                <w:sz w:val="18"/>
                <w:szCs w:val="18"/>
                <w:lang w:val="en-US"/>
              </w:rPr>
              <w:t>1,3</w:t>
            </w:r>
          </w:p>
        </w:tc>
        <w:tc>
          <w:tcPr>
            <w:tcW w:w="851" w:type="dxa"/>
            <w:shd w:val="clear" w:color="auto" w:fill="auto"/>
            <w:vAlign w:val="center"/>
            <w:hideMark/>
          </w:tcPr>
          <w:p w:rsidR="006D44BE" w:rsidRPr="00756CEE" w:rsidRDefault="006D44BE" w:rsidP="00AF47B9">
            <w:pPr>
              <w:jc w:val="center"/>
              <w:rPr>
                <w:color w:val="000000"/>
                <w:sz w:val="18"/>
                <w:szCs w:val="18"/>
                <w:lang w:val="en-US"/>
              </w:rPr>
            </w:pPr>
            <w:r w:rsidRPr="00756CEE">
              <w:rPr>
                <w:color w:val="000000"/>
                <w:sz w:val="18"/>
                <w:szCs w:val="18"/>
                <w:lang w:val="en-US"/>
              </w:rPr>
              <w:t>0,1</w:t>
            </w:r>
          </w:p>
        </w:tc>
        <w:tc>
          <w:tcPr>
            <w:tcW w:w="850" w:type="dxa"/>
            <w:shd w:val="clear" w:color="auto" w:fill="auto"/>
            <w:vAlign w:val="center"/>
            <w:hideMark/>
          </w:tcPr>
          <w:p w:rsidR="006D44BE" w:rsidRPr="00756CEE" w:rsidRDefault="006D44BE" w:rsidP="00AF47B9">
            <w:pPr>
              <w:jc w:val="center"/>
              <w:rPr>
                <w:sz w:val="18"/>
                <w:szCs w:val="18"/>
                <w:lang w:val="en-US"/>
              </w:rPr>
            </w:pPr>
            <w:r w:rsidRPr="00756CEE">
              <w:rPr>
                <w:sz w:val="18"/>
                <w:szCs w:val="18"/>
                <w:lang w:val="en-US"/>
              </w:rPr>
              <w:t>8</w:t>
            </w:r>
          </w:p>
        </w:tc>
        <w:tc>
          <w:tcPr>
            <w:tcW w:w="3686" w:type="dxa"/>
            <w:vAlign w:val="center"/>
            <w:hideMark/>
          </w:tcPr>
          <w:p w:rsidR="006D44BE" w:rsidRPr="009D1CDA" w:rsidRDefault="006D44BE" w:rsidP="00756CEE">
            <w:pPr>
              <w:rPr>
                <w:color w:val="000000"/>
                <w:sz w:val="18"/>
                <w:szCs w:val="18"/>
                <w:lang w:val="en-US"/>
              </w:rPr>
            </w:pPr>
            <w:r w:rsidRPr="009D1CDA">
              <w:rPr>
                <w:color w:val="000000"/>
                <w:sz w:val="18"/>
                <w:szCs w:val="18"/>
                <w:lang w:val="en-US"/>
              </w:rPr>
              <w:t>Improv</w:t>
            </w:r>
            <w:r>
              <w:rPr>
                <w:color w:val="000000"/>
                <w:sz w:val="18"/>
                <w:szCs w:val="18"/>
                <w:lang w:val="en-US"/>
              </w:rPr>
              <w:t>ement of</w:t>
            </w:r>
            <w:r w:rsidRPr="009D1CDA">
              <w:rPr>
                <w:color w:val="000000"/>
                <w:sz w:val="18"/>
                <w:szCs w:val="18"/>
                <w:lang w:val="en-US"/>
              </w:rPr>
              <w:t xml:space="preserve"> the rate </w:t>
            </w:r>
            <w:r>
              <w:rPr>
                <w:color w:val="000000"/>
                <w:sz w:val="18"/>
                <w:szCs w:val="18"/>
                <w:lang w:val="en-US"/>
              </w:rPr>
              <w:t xml:space="preserve">is </w:t>
            </w:r>
            <w:r w:rsidRPr="009D1CDA">
              <w:rPr>
                <w:color w:val="000000"/>
                <w:sz w:val="18"/>
                <w:szCs w:val="18"/>
                <w:lang w:val="en-US"/>
              </w:rPr>
              <w:t xml:space="preserve">associated with increased </w:t>
            </w:r>
            <w:r w:rsidR="00756CEE" w:rsidRPr="009D1CDA">
              <w:rPr>
                <w:color w:val="000000"/>
                <w:sz w:val="18"/>
                <w:szCs w:val="18"/>
                <w:lang w:val="en-US"/>
              </w:rPr>
              <w:t>sale</w:t>
            </w:r>
            <w:r w:rsidR="00756CEE">
              <w:rPr>
                <w:color w:val="000000"/>
                <w:sz w:val="18"/>
                <w:szCs w:val="18"/>
                <w:lang w:val="en-US"/>
              </w:rPr>
              <w:t>s</w:t>
            </w:r>
            <w:r w:rsidR="00756CEE" w:rsidRPr="009D1CDA">
              <w:rPr>
                <w:color w:val="000000"/>
                <w:sz w:val="18"/>
                <w:szCs w:val="18"/>
                <w:lang w:val="en-US"/>
              </w:rPr>
              <w:t xml:space="preserve"> </w:t>
            </w:r>
            <w:r w:rsidRPr="009D1CDA">
              <w:rPr>
                <w:color w:val="000000"/>
                <w:sz w:val="18"/>
                <w:szCs w:val="18"/>
                <w:lang w:val="en-US"/>
              </w:rPr>
              <w:t>income</w:t>
            </w:r>
            <w:r w:rsidR="00756CEE">
              <w:rPr>
                <w:color w:val="000000"/>
                <w:sz w:val="18"/>
                <w:szCs w:val="18"/>
                <w:lang w:val="en-US"/>
              </w:rPr>
              <w:t xml:space="preserve">, the growth factors of which are indicated above, </w:t>
            </w:r>
            <w:r w:rsidRPr="009D1CDA">
              <w:rPr>
                <w:color w:val="000000"/>
                <w:sz w:val="18"/>
                <w:szCs w:val="18"/>
                <w:lang w:val="en-US"/>
              </w:rPr>
              <w:t xml:space="preserve">and the </w:t>
            </w:r>
            <w:r w:rsidR="00756CEE">
              <w:rPr>
                <w:color w:val="000000"/>
                <w:sz w:val="18"/>
                <w:szCs w:val="18"/>
                <w:lang w:val="en-US"/>
              </w:rPr>
              <w:t>cash reduced by 2% in total, mainly placed on the current accounts and bank deposits in tenge</w:t>
            </w:r>
            <w:r w:rsidR="00D3025F">
              <w:rPr>
                <w:color w:val="000000"/>
                <w:sz w:val="18"/>
                <w:szCs w:val="18"/>
                <w:lang w:val="en-US"/>
              </w:rPr>
              <w:t>.</w:t>
            </w:r>
          </w:p>
        </w:tc>
      </w:tr>
      <w:tr w:rsidR="006D44BE" w:rsidRPr="00353DB4" w:rsidTr="00756CEE">
        <w:trPr>
          <w:trHeight w:val="137"/>
        </w:trPr>
        <w:tc>
          <w:tcPr>
            <w:tcW w:w="2694" w:type="dxa"/>
            <w:shd w:val="clear" w:color="auto" w:fill="auto"/>
            <w:vAlign w:val="center"/>
            <w:hideMark/>
          </w:tcPr>
          <w:p w:rsidR="006D44BE" w:rsidRPr="004906E2" w:rsidRDefault="006D44BE" w:rsidP="009D1CDA">
            <w:pPr>
              <w:rPr>
                <w:color w:val="000000"/>
                <w:sz w:val="18"/>
                <w:szCs w:val="18"/>
              </w:rPr>
            </w:pPr>
            <w:proofErr w:type="spellStart"/>
            <w:r w:rsidRPr="009D1CDA">
              <w:rPr>
                <w:color w:val="000000"/>
                <w:sz w:val="18"/>
                <w:szCs w:val="18"/>
              </w:rPr>
              <w:t>Accounts</w:t>
            </w:r>
            <w:proofErr w:type="spellEnd"/>
            <w:r w:rsidRPr="009D1CDA">
              <w:rPr>
                <w:color w:val="000000"/>
                <w:sz w:val="18"/>
                <w:szCs w:val="18"/>
              </w:rPr>
              <w:t xml:space="preserve"> </w:t>
            </w:r>
            <w:proofErr w:type="spellStart"/>
            <w:r w:rsidRPr="009D1CDA">
              <w:rPr>
                <w:color w:val="000000"/>
                <w:sz w:val="18"/>
                <w:szCs w:val="18"/>
              </w:rPr>
              <w:t>payable</w:t>
            </w:r>
            <w:proofErr w:type="spellEnd"/>
            <w:r w:rsidRPr="009D1CDA">
              <w:rPr>
                <w:color w:val="000000"/>
                <w:sz w:val="18"/>
                <w:szCs w:val="18"/>
              </w:rPr>
              <w:t xml:space="preserve"> </w:t>
            </w:r>
            <w:proofErr w:type="spellStart"/>
            <w:r w:rsidRPr="009D1CDA">
              <w:rPr>
                <w:color w:val="000000"/>
                <w:sz w:val="18"/>
                <w:szCs w:val="18"/>
              </w:rPr>
              <w:t>turnover</w:t>
            </w:r>
            <w:proofErr w:type="spellEnd"/>
            <w:r w:rsidRPr="009D1CDA">
              <w:rPr>
                <w:rStyle w:val="af5"/>
                <w:color w:val="000000"/>
                <w:sz w:val="18"/>
                <w:szCs w:val="18"/>
                <w:vertAlign w:val="baseline"/>
              </w:rPr>
              <w:t xml:space="preserve"> </w:t>
            </w:r>
            <w:r>
              <w:rPr>
                <w:rStyle w:val="af5"/>
                <w:color w:val="000000"/>
                <w:sz w:val="18"/>
                <w:szCs w:val="18"/>
              </w:rPr>
              <w:footnoteReference w:id="11"/>
            </w:r>
          </w:p>
        </w:tc>
        <w:tc>
          <w:tcPr>
            <w:tcW w:w="992" w:type="dxa"/>
            <w:vAlign w:val="center"/>
          </w:tcPr>
          <w:p w:rsidR="006D44BE" w:rsidRPr="004906E2" w:rsidRDefault="006D44BE" w:rsidP="00AF47B9">
            <w:pPr>
              <w:jc w:val="center"/>
              <w:rPr>
                <w:color w:val="000000"/>
                <w:sz w:val="18"/>
                <w:szCs w:val="18"/>
              </w:rPr>
            </w:pPr>
            <w:r>
              <w:rPr>
                <w:color w:val="000000"/>
                <w:sz w:val="18"/>
                <w:szCs w:val="18"/>
              </w:rPr>
              <w:t>5,5</w:t>
            </w:r>
          </w:p>
        </w:tc>
        <w:tc>
          <w:tcPr>
            <w:tcW w:w="992"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5,8</w:t>
            </w:r>
          </w:p>
        </w:tc>
        <w:tc>
          <w:tcPr>
            <w:tcW w:w="851" w:type="dxa"/>
            <w:shd w:val="clear" w:color="auto" w:fill="auto"/>
            <w:vAlign w:val="center"/>
            <w:hideMark/>
          </w:tcPr>
          <w:p w:rsidR="006D44BE" w:rsidRPr="004906E2" w:rsidRDefault="006D44BE" w:rsidP="00AF47B9">
            <w:pPr>
              <w:jc w:val="center"/>
              <w:rPr>
                <w:color w:val="000000"/>
                <w:sz w:val="18"/>
                <w:szCs w:val="18"/>
              </w:rPr>
            </w:pPr>
            <w:r>
              <w:rPr>
                <w:color w:val="000000"/>
                <w:sz w:val="18"/>
                <w:szCs w:val="18"/>
              </w:rPr>
              <w:t>-0,3</w:t>
            </w:r>
          </w:p>
        </w:tc>
        <w:tc>
          <w:tcPr>
            <w:tcW w:w="850" w:type="dxa"/>
            <w:shd w:val="clear" w:color="auto" w:fill="auto"/>
            <w:vAlign w:val="center"/>
            <w:hideMark/>
          </w:tcPr>
          <w:p w:rsidR="006D44BE" w:rsidRPr="004906E2" w:rsidRDefault="006D44BE" w:rsidP="00AF47B9">
            <w:pPr>
              <w:jc w:val="center"/>
              <w:rPr>
                <w:sz w:val="18"/>
                <w:szCs w:val="18"/>
              </w:rPr>
            </w:pPr>
            <w:r>
              <w:rPr>
                <w:sz w:val="18"/>
                <w:szCs w:val="18"/>
              </w:rPr>
              <w:t>-5</w:t>
            </w:r>
          </w:p>
        </w:tc>
        <w:tc>
          <w:tcPr>
            <w:tcW w:w="3686" w:type="dxa"/>
            <w:vAlign w:val="center"/>
          </w:tcPr>
          <w:p w:rsidR="006D44BE" w:rsidRPr="009D1CDA" w:rsidRDefault="00756CEE" w:rsidP="009D1CDA">
            <w:pPr>
              <w:rPr>
                <w:color w:val="000000"/>
                <w:sz w:val="18"/>
                <w:szCs w:val="18"/>
                <w:lang w:val="en-US"/>
              </w:rPr>
            </w:pPr>
            <w:r w:rsidRPr="00756CEE">
              <w:rPr>
                <w:color w:val="000000"/>
                <w:sz w:val="18"/>
                <w:szCs w:val="18"/>
                <w:lang w:val="en-US"/>
              </w:rPr>
              <w:t>Deterioration is attributed to the excess growth of accounts payable over the pace of revenue growth from sales. Growth in accounts payable in the reporting period amounted to 23%.</w:t>
            </w:r>
          </w:p>
        </w:tc>
      </w:tr>
    </w:tbl>
    <w:p w:rsidR="002664E4" w:rsidRDefault="002664E4" w:rsidP="002664E4">
      <w:pPr>
        <w:pStyle w:val="a3"/>
        <w:tabs>
          <w:tab w:val="left" w:pos="426"/>
          <w:tab w:val="left" w:pos="993"/>
        </w:tabs>
        <w:autoSpaceDE w:val="0"/>
        <w:autoSpaceDN w:val="0"/>
        <w:adjustRightInd w:val="0"/>
        <w:ind w:left="0"/>
        <w:jc w:val="both"/>
        <w:rPr>
          <w:b/>
          <w:sz w:val="22"/>
          <w:szCs w:val="22"/>
          <w:lang w:val="en-US"/>
        </w:rPr>
      </w:pPr>
    </w:p>
    <w:p w:rsidR="004A12C0" w:rsidRDefault="004A12C0" w:rsidP="002664E4">
      <w:pPr>
        <w:pStyle w:val="a3"/>
        <w:tabs>
          <w:tab w:val="left" w:pos="426"/>
          <w:tab w:val="left" w:pos="993"/>
        </w:tabs>
        <w:autoSpaceDE w:val="0"/>
        <w:autoSpaceDN w:val="0"/>
        <w:adjustRightInd w:val="0"/>
        <w:ind w:left="0"/>
        <w:jc w:val="both"/>
        <w:rPr>
          <w:b/>
          <w:sz w:val="22"/>
          <w:szCs w:val="22"/>
          <w:lang w:val="en-US"/>
        </w:rPr>
      </w:pPr>
    </w:p>
    <w:p w:rsidR="00584768" w:rsidRDefault="00584768" w:rsidP="002664E4">
      <w:pPr>
        <w:pStyle w:val="a3"/>
        <w:tabs>
          <w:tab w:val="left" w:pos="426"/>
          <w:tab w:val="left" w:pos="993"/>
        </w:tabs>
        <w:autoSpaceDE w:val="0"/>
        <w:autoSpaceDN w:val="0"/>
        <w:adjustRightInd w:val="0"/>
        <w:ind w:left="0"/>
        <w:jc w:val="both"/>
        <w:rPr>
          <w:b/>
          <w:sz w:val="22"/>
          <w:szCs w:val="22"/>
          <w:lang w:val="en-US"/>
        </w:rPr>
      </w:pPr>
    </w:p>
    <w:p w:rsidR="002664E4" w:rsidRDefault="002664E4" w:rsidP="002664E4">
      <w:pPr>
        <w:pStyle w:val="a3"/>
        <w:numPr>
          <w:ilvl w:val="0"/>
          <w:numId w:val="2"/>
        </w:numPr>
        <w:tabs>
          <w:tab w:val="left" w:pos="426"/>
          <w:tab w:val="left" w:pos="993"/>
        </w:tabs>
        <w:autoSpaceDE w:val="0"/>
        <w:autoSpaceDN w:val="0"/>
        <w:adjustRightInd w:val="0"/>
        <w:ind w:left="-709" w:firstLine="709"/>
        <w:jc w:val="both"/>
        <w:rPr>
          <w:b/>
          <w:sz w:val="22"/>
          <w:szCs w:val="22"/>
        </w:rPr>
      </w:pPr>
      <w:r>
        <w:rPr>
          <w:b/>
          <w:sz w:val="22"/>
          <w:szCs w:val="22"/>
          <w:lang w:val="en-US"/>
        </w:rPr>
        <w:t xml:space="preserve">Liquidity </w:t>
      </w:r>
    </w:p>
    <w:p w:rsidR="002664E4" w:rsidRPr="00B53552" w:rsidRDefault="002664E4" w:rsidP="002664E4">
      <w:pPr>
        <w:pStyle w:val="a3"/>
        <w:tabs>
          <w:tab w:val="left" w:pos="426"/>
          <w:tab w:val="left" w:pos="993"/>
        </w:tabs>
        <w:autoSpaceDE w:val="0"/>
        <w:autoSpaceDN w:val="0"/>
        <w:adjustRightInd w:val="0"/>
        <w:ind w:left="0"/>
        <w:jc w:val="both"/>
        <w:rPr>
          <w:b/>
          <w:sz w:val="22"/>
          <w:szCs w:val="22"/>
        </w:rPr>
      </w:pPr>
    </w:p>
    <w:p w:rsidR="002664E4" w:rsidRPr="0012431B" w:rsidRDefault="002664E4" w:rsidP="002664E4">
      <w:pPr>
        <w:pStyle w:val="a3"/>
        <w:numPr>
          <w:ilvl w:val="1"/>
          <w:numId w:val="2"/>
        </w:numPr>
        <w:ind w:left="426" w:hanging="426"/>
        <w:jc w:val="both"/>
        <w:rPr>
          <w:b/>
          <w:color w:val="000000" w:themeColor="text1"/>
          <w:sz w:val="22"/>
          <w:szCs w:val="22"/>
        </w:rPr>
      </w:pPr>
      <w:r>
        <w:rPr>
          <w:b/>
          <w:color w:val="000000" w:themeColor="text1"/>
          <w:sz w:val="22"/>
          <w:szCs w:val="22"/>
          <w:lang w:val="en-US"/>
        </w:rPr>
        <w:t>Cash flow analysis</w:t>
      </w:r>
    </w:p>
    <w:p w:rsidR="002664E4" w:rsidRPr="00A9791A" w:rsidRDefault="004C29F9" w:rsidP="004C29F9">
      <w:pPr>
        <w:pStyle w:val="a3"/>
        <w:ind w:left="426"/>
        <w:jc w:val="center"/>
        <w:rPr>
          <w:b/>
          <w:color w:val="000000" w:themeColor="text1"/>
          <w:sz w:val="16"/>
          <w:szCs w:val="16"/>
        </w:rPr>
      </w:pPr>
      <w:r>
        <w:rPr>
          <w:i/>
          <w:iCs/>
          <w:color w:val="000000"/>
          <w:sz w:val="18"/>
          <w:szCs w:val="18"/>
          <w:lang w:val="en-US"/>
        </w:rPr>
        <w:t xml:space="preserve">                                                                                                                           </w:t>
      </w:r>
      <w:r w:rsidRPr="00A9791A">
        <w:rPr>
          <w:iCs/>
          <w:color w:val="000000"/>
          <w:sz w:val="16"/>
          <w:szCs w:val="16"/>
          <w:lang w:val="en-US"/>
        </w:rPr>
        <w:t xml:space="preserve">In </w:t>
      </w:r>
      <w:r w:rsidR="000A43AE" w:rsidRPr="00A9791A">
        <w:rPr>
          <w:iCs/>
          <w:color w:val="000000"/>
          <w:sz w:val="16"/>
          <w:szCs w:val="16"/>
          <w:lang w:val="en-US"/>
        </w:rPr>
        <w:t>billion</w:t>
      </w:r>
      <w:r w:rsidRPr="00A9791A">
        <w:rPr>
          <w:iCs/>
          <w:color w:val="000000"/>
          <w:sz w:val="16"/>
          <w:szCs w:val="16"/>
          <w:lang w:val="en-US"/>
        </w:rPr>
        <w:t xml:space="preserve"> KZT</w:t>
      </w:r>
    </w:p>
    <w:tbl>
      <w:tblPr>
        <w:tblW w:w="93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276"/>
        <w:gridCol w:w="1275"/>
        <w:gridCol w:w="1276"/>
      </w:tblGrid>
      <w:tr w:rsidR="00C318D3" w:rsidRPr="00B53552" w:rsidTr="00CF5769">
        <w:trPr>
          <w:trHeight w:val="347"/>
        </w:trPr>
        <w:tc>
          <w:tcPr>
            <w:tcW w:w="5549" w:type="dxa"/>
            <w:shd w:val="clear" w:color="auto" w:fill="auto"/>
            <w:vAlign w:val="center"/>
            <w:hideMark/>
          </w:tcPr>
          <w:p w:rsidR="00C318D3" w:rsidRPr="00F32C0C" w:rsidRDefault="00C318D3" w:rsidP="00770BC8">
            <w:pPr>
              <w:rPr>
                <w:i/>
                <w:iCs/>
                <w:color w:val="000000"/>
                <w:sz w:val="18"/>
                <w:szCs w:val="18"/>
                <w:lang w:val="en-US"/>
              </w:rPr>
            </w:pPr>
          </w:p>
        </w:tc>
        <w:tc>
          <w:tcPr>
            <w:tcW w:w="1276" w:type="dxa"/>
            <w:shd w:val="clear" w:color="auto" w:fill="auto"/>
            <w:vAlign w:val="center"/>
            <w:hideMark/>
          </w:tcPr>
          <w:p w:rsidR="00C318D3" w:rsidRPr="00AE14C1" w:rsidRDefault="00C318D3" w:rsidP="00AF47B9">
            <w:pPr>
              <w:jc w:val="center"/>
              <w:rPr>
                <w:b/>
                <w:bCs/>
                <w:sz w:val="18"/>
                <w:szCs w:val="18"/>
                <w:lang w:val="en-US"/>
              </w:rPr>
            </w:pPr>
            <w:r>
              <w:rPr>
                <w:b/>
                <w:bCs/>
                <w:sz w:val="18"/>
                <w:szCs w:val="18"/>
                <w:lang w:val="en-US" w:eastAsia="en-US"/>
              </w:rPr>
              <w:t>H</w:t>
            </w:r>
            <w:r>
              <w:rPr>
                <w:b/>
                <w:bCs/>
                <w:sz w:val="18"/>
                <w:szCs w:val="18"/>
                <w:lang w:eastAsia="en-US"/>
              </w:rPr>
              <w:t>1 2012</w:t>
            </w:r>
            <w:r w:rsidRPr="00AE14C1">
              <w:rPr>
                <w:b/>
                <w:bCs/>
                <w:sz w:val="18"/>
                <w:szCs w:val="18"/>
                <w:lang w:val="en-US" w:eastAsia="en-US"/>
              </w:rPr>
              <w:t xml:space="preserve"> </w:t>
            </w:r>
          </w:p>
        </w:tc>
        <w:tc>
          <w:tcPr>
            <w:tcW w:w="1275" w:type="dxa"/>
            <w:shd w:val="clear" w:color="auto" w:fill="auto"/>
            <w:vAlign w:val="center"/>
            <w:hideMark/>
          </w:tcPr>
          <w:p w:rsidR="00C318D3" w:rsidRPr="00AE14C1" w:rsidRDefault="00C318D3" w:rsidP="00AF47B9">
            <w:pPr>
              <w:jc w:val="center"/>
              <w:rPr>
                <w:b/>
                <w:bCs/>
                <w:sz w:val="18"/>
                <w:szCs w:val="18"/>
                <w:lang w:val="en-US"/>
              </w:rPr>
            </w:pPr>
            <w:r>
              <w:rPr>
                <w:b/>
                <w:bCs/>
                <w:sz w:val="18"/>
                <w:szCs w:val="18"/>
                <w:lang w:val="en-US" w:eastAsia="en-US"/>
              </w:rPr>
              <w:t>H1 2011</w:t>
            </w:r>
            <w:r w:rsidRPr="00AE14C1">
              <w:rPr>
                <w:b/>
                <w:bCs/>
                <w:sz w:val="18"/>
                <w:szCs w:val="18"/>
                <w:lang w:val="en-US" w:eastAsia="en-US"/>
              </w:rPr>
              <w:t xml:space="preserve"> </w:t>
            </w:r>
          </w:p>
        </w:tc>
        <w:tc>
          <w:tcPr>
            <w:tcW w:w="1276" w:type="dxa"/>
            <w:shd w:val="clear" w:color="auto" w:fill="auto"/>
            <w:vAlign w:val="center"/>
            <w:hideMark/>
          </w:tcPr>
          <w:p w:rsidR="00C318D3" w:rsidRPr="00B53552" w:rsidRDefault="00C318D3" w:rsidP="00770BC8">
            <w:pPr>
              <w:jc w:val="center"/>
              <w:rPr>
                <w:b/>
                <w:color w:val="000000"/>
                <w:sz w:val="18"/>
                <w:szCs w:val="18"/>
              </w:rPr>
            </w:pPr>
            <w:r>
              <w:rPr>
                <w:b/>
                <w:color w:val="000000"/>
                <w:sz w:val="18"/>
                <w:szCs w:val="18"/>
                <w:lang w:val="en-US"/>
              </w:rPr>
              <w:t>Change</w:t>
            </w:r>
            <w:r>
              <w:rPr>
                <w:b/>
                <w:color w:val="000000"/>
                <w:sz w:val="18"/>
                <w:szCs w:val="18"/>
              </w:rPr>
              <w:t xml:space="preserve"> </w:t>
            </w:r>
          </w:p>
        </w:tc>
      </w:tr>
      <w:tr w:rsidR="00644E0D" w:rsidRPr="00B84716" w:rsidTr="00CF5769">
        <w:trPr>
          <w:trHeight w:val="315"/>
        </w:trPr>
        <w:tc>
          <w:tcPr>
            <w:tcW w:w="5549" w:type="dxa"/>
            <w:shd w:val="clear" w:color="auto" w:fill="auto"/>
            <w:hideMark/>
          </w:tcPr>
          <w:p w:rsidR="00644E0D" w:rsidRPr="00F32C0C" w:rsidRDefault="00644E0D" w:rsidP="00770BC8">
            <w:pPr>
              <w:rPr>
                <w:iCs/>
                <w:color w:val="000000"/>
                <w:sz w:val="18"/>
                <w:szCs w:val="18"/>
                <w:lang w:val="en-US"/>
              </w:rPr>
            </w:pPr>
            <w:r w:rsidRPr="00F32C0C">
              <w:rPr>
                <w:iCs/>
                <w:color w:val="000000"/>
                <w:sz w:val="18"/>
                <w:szCs w:val="18"/>
                <w:lang w:val="en-US"/>
              </w:rPr>
              <w:t>Net cash</w:t>
            </w:r>
            <w:r>
              <w:rPr>
                <w:iCs/>
                <w:color w:val="000000"/>
                <w:sz w:val="18"/>
                <w:szCs w:val="18"/>
                <w:lang w:val="en-US"/>
              </w:rPr>
              <w:t xml:space="preserve"> inflow</w:t>
            </w:r>
            <w:r w:rsidRPr="00F32C0C">
              <w:rPr>
                <w:iCs/>
                <w:color w:val="000000"/>
                <w:sz w:val="18"/>
                <w:szCs w:val="18"/>
                <w:lang w:val="en-US"/>
              </w:rPr>
              <w:t xml:space="preserve"> </w:t>
            </w:r>
            <w:r>
              <w:rPr>
                <w:iCs/>
                <w:color w:val="000000"/>
                <w:sz w:val="18"/>
                <w:szCs w:val="18"/>
                <w:lang w:val="en-US"/>
              </w:rPr>
              <w:t>from</w:t>
            </w:r>
            <w:r w:rsidRPr="00F32C0C">
              <w:rPr>
                <w:iCs/>
                <w:color w:val="000000"/>
                <w:sz w:val="18"/>
                <w:szCs w:val="18"/>
                <w:lang w:val="en-US"/>
              </w:rPr>
              <w:t xml:space="preserve"> operating activities</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177</w:t>
            </w:r>
          </w:p>
        </w:tc>
        <w:tc>
          <w:tcPr>
            <w:tcW w:w="1275"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415</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-238</w:t>
            </w:r>
          </w:p>
        </w:tc>
      </w:tr>
      <w:tr w:rsidR="00644E0D" w:rsidRPr="00B84716" w:rsidTr="00CF5769">
        <w:trPr>
          <w:trHeight w:val="363"/>
        </w:trPr>
        <w:tc>
          <w:tcPr>
            <w:tcW w:w="5549" w:type="dxa"/>
            <w:shd w:val="clear" w:color="auto" w:fill="auto"/>
            <w:hideMark/>
          </w:tcPr>
          <w:p w:rsidR="00644E0D" w:rsidRPr="00F32C0C" w:rsidRDefault="00644E0D" w:rsidP="00770BC8">
            <w:pPr>
              <w:rPr>
                <w:iCs/>
                <w:color w:val="000000"/>
                <w:sz w:val="18"/>
                <w:szCs w:val="18"/>
                <w:lang w:val="en-US"/>
              </w:rPr>
            </w:pPr>
            <w:r w:rsidRPr="00F32C0C">
              <w:rPr>
                <w:iCs/>
                <w:color w:val="000000"/>
                <w:sz w:val="18"/>
                <w:szCs w:val="18"/>
                <w:lang w:val="en-US"/>
              </w:rPr>
              <w:t xml:space="preserve">Net cash </w:t>
            </w:r>
            <w:r>
              <w:rPr>
                <w:iCs/>
                <w:color w:val="000000"/>
                <w:sz w:val="18"/>
                <w:szCs w:val="18"/>
                <w:lang w:val="en-US"/>
              </w:rPr>
              <w:t xml:space="preserve">outflow </w:t>
            </w:r>
            <w:r w:rsidRPr="00F32C0C">
              <w:rPr>
                <w:iCs/>
                <w:color w:val="000000"/>
                <w:sz w:val="18"/>
                <w:szCs w:val="18"/>
                <w:lang w:val="en-US"/>
              </w:rPr>
              <w:t>in investing activities</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-101</w:t>
            </w:r>
          </w:p>
        </w:tc>
        <w:tc>
          <w:tcPr>
            <w:tcW w:w="1275"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-241</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140</w:t>
            </w:r>
          </w:p>
        </w:tc>
      </w:tr>
      <w:tr w:rsidR="00644E0D" w:rsidRPr="00B84716" w:rsidTr="00CF5769">
        <w:trPr>
          <w:trHeight w:val="424"/>
        </w:trPr>
        <w:tc>
          <w:tcPr>
            <w:tcW w:w="5549" w:type="dxa"/>
            <w:shd w:val="clear" w:color="auto" w:fill="auto"/>
            <w:hideMark/>
          </w:tcPr>
          <w:p w:rsidR="00644E0D" w:rsidRPr="00F32C0C" w:rsidRDefault="00644E0D" w:rsidP="00770BC8">
            <w:pPr>
              <w:rPr>
                <w:iCs/>
                <w:color w:val="000000"/>
                <w:sz w:val="18"/>
                <w:szCs w:val="18"/>
                <w:lang w:val="en-US"/>
              </w:rPr>
            </w:pPr>
            <w:r w:rsidRPr="00F32C0C">
              <w:rPr>
                <w:iCs/>
                <w:color w:val="000000"/>
                <w:sz w:val="18"/>
                <w:szCs w:val="18"/>
                <w:lang w:val="en-US"/>
              </w:rPr>
              <w:t xml:space="preserve">Net cash </w:t>
            </w:r>
            <w:r>
              <w:rPr>
                <w:iCs/>
                <w:color w:val="000000"/>
                <w:sz w:val="18"/>
                <w:szCs w:val="18"/>
                <w:lang w:val="en-US"/>
              </w:rPr>
              <w:t>inflow</w:t>
            </w:r>
            <w:r w:rsidRPr="00F32C0C">
              <w:rPr>
                <w:iCs/>
                <w:color w:val="000000"/>
                <w:sz w:val="18"/>
                <w:szCs w:val="18"/>
                <w:lang w:val="en-US"/>
              </w:rPr>
              <w:t xml:space="preserve"> / (</w:t>
            </w:r>
            <w:r>
              <w:rPr>
                <w:iCs/>
                <w:color w:val="000000"/>
                <w:sz w:val="18"/>
                <w:szCs w:val="18"/>
                <w:lang w:val="en-US"/>
              </w:rPr>
              <w:t>outflow</w:t>
            </w:r>
            <w:r w:rsidRPr="00F32C0C">
              <w:rPr>
                <w:iCs/>
                <w:color w:val="000000"/>
                <w:sz w:val="18"/>
                <w:szCs w:val="18"/>
                <w:lang w:val="en-US"/>
              </w:rPr>
              <w:t>) from financing activities</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-122</w:t>
            </w:r>
          </w:p>
        </w:tc>
        <w:tc>
          <w:tcPr>
            <w:tcW w:w="1275"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-178</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56</w:t>
            </w:r>
          </w:p>
        </w:tc>
      </w:tr>
      <w:tr w:rsidR="00644E0D" w:rsidRPr="00B84716" w:rsidTr="00CF5769">
        <w:trPr>
          <w:trHeight w:val="275"/>
        </w:trPr>
        <w:tc>
          <w:tcPr>
            <w:tcW w:w="5549" w:type="dxa"/>
            <w:shd w:val="clear" w:color="auto" w:fill="auto"/>
          </w:tcPr>
          <w:p w:rsidR="00644E0D" w:rsidRPr="00F32C0C" w:rsidRDefault="00644E0D" w:rsidP="00770BC8">
            <w:pPr>
              <w:rPr>
                <w:iCs/>
                <w:color w:val="000000"/>
                <w:sz w:val="18"/>
                <w:szCs w:val="18"/>
                <w:lang w:val="en-US"/>
              </w:rPr>
            </w:pPr>
            <w:r w:rsidRPr="00F32C0C">
              <w:rPr>
                <w:iCs/>
                <w:color w:val="000000"/>
                <w:sz w:val="18"/>
                <w:szCs w:val="18"/>
                <w:lang w:val="en-US"/>
              </w:rPr>
              <w:t>Net increase / (decrease) in cash and cash equivalents</w:t>
            </w:r>
          </w:p>
        </w:tc>
        <w:tc>
          <w:tcPr>
            <w:tcW w:w="1276" w:type="dxa"/>
            <w:shd w:val="clear" w:color="auto" w:fill="auto"/>
            <w:vAlign w:val="center"/>
          </w:tcPr>
          <w:p w:rsidR="00644E0D" w:rsidRPr="00B84716" w:rsidRDefault="00644E0D" w:rsidP="00F11A4A">
            <w:pPr>
              <w:jc w:val="center"/>
              <w:rPr>
                <w:color w:val="000000"/>
                <w:sz w:val="18"/>
                <w:szCs w:val="18"/>
              </w:rPr>
            </w:pPr>
            <w:r>
              <w:rPr>
                <w:color w:val="000000"/>
                <w:sz w:val="18"/>
                <w:szCs w:val="18"/>
              </w:rPr>
              <w:t>-43</w:t>
            </w:r>
          </w:p>
        </w:tc>
        <w:tc>
          <w:tcPr>
            <w:tcW w:w="1275" w:type="dxa"/>
            <w:shd w:val="clear" w:color="auto" w:fill="auto"/>
            <w:vAlign w:val="center"/>
          </w:tcPr>
          <w:p w:rsidR="00644E0D" w:rsidRPr="00B84716" w:rsidRDefault="00644E0D" w:rsidP="00F11A4A">
            <w:pPr>
              <w:jc w:val="center"/>
              <w:rPr>
                <w:color w:val="000000"/>
                <w:sz w:val="18"/>
                <w:szCs w:val="18"/>
              </w:rPr>
            </w:pPr>
            <w:r>
              <w:rPr>
                <w:color w:val="000000"/>
                <w:sz w:val="18"/>
                <w:szCs w:val="18"/>
              </w:rPr>
              <w:t>-8</w:t>
            </w:r>
          </w:p>
        </w:tc>
        <w:tc>
          <w:tcPr>
            <w:tcW w:w="1276" w:type="dxa"/>
            <w:shd w:val="clear" w:color="auto" w:fill="auto"/>
            <w:vAlign w:val="center"/>
          </w:tcPr>
          <w:p w:rsidR="00644E0D" w:rsidRPr="00B84716" w:rsidRDefault="00644E0D" w:rsidP="00F11A4A">
            <w:pPr>
              <w:jc w:val="center"/>
              <w:rPr>
                <w:color w:val="000000"/>
                <w:sz w:val="18"/>
                <w:szCs w:val="18"/>
              </w:rPr>
            </w:pPr>
            <w:r>
              <w:rPr>
                <w:color w:val="000000"/>
                <w:sz w:val="18"/>
                <w:szCs w:val="18"/>
              </w:rPr>
              <w:t>-35</w:t>
            </w:r>
          </w:p>
        </w:tc>
      </w:tr>
      <w:tr w:rsidR="00644E0D" w:rsidRPr="00B84716" w:rsidTr="00CF5769">
        <w:trPr>
          <w:trHeight w:val="275"/>
        </w:trPr>
        <w:tc>
          <w:tcPr>
            <w:tcW w:w="5549" w:type="dxa"/>
            <w:shd w:val="clear" w:color="auto" w:fill="auto"/>
          </w:tcPr>
          <w:p w:rsidR="00644E0D" w:rsidRPr="00F32C0C" w:rsidRDefault="00644E0D" w:rsidP="00685AC0">
            <w:pPr>
              <w:rPr>
                <w:iCs/>
                <w:color w:val="000000"/>
                <w:sz w:val="18"/>
                <w:szCs w:val="18"/>
                <w:lang w:val="en-US"/>
              </w:rPr>
            </w:pPr>
            <w:r w:rsidRPr="00F32C0C">
              <w:rPr>
                <w:iCs/>
                <w:color w:val="000000"/>
                <w:sz w:val="18"/>
                <w:szCs w:val="18"/>
                <w:lang w:val="en-US"/>
              </w:rPr>
              <w:t xml:space="preserve">Cash and cash equivalents at beginning of </w:t>
            </w:r>
            <w:r>
              <w:rPr>
                <w:iCs/>
                <w:color w:val="000000"/>
                <w:sz w:val="18"/>
                <w:szCs w:val="18"/>
                <w:lang w:val="en-US"/>
              </w:rPr>
              <w:t>period</w:t>
            </w:r>
          </w:p>
        </w:tc>
        <w:tc>
          <w:tcPr>
            <w:tcW w:w="1276" w:type="dxa"/>
            <w:shd w:val="clear" w:color="auto" w:fill="auto"/>
            <w:vAlign w:val="center"/>
          </w:tcPr>
          <w:p w:rsidR="00644E0D" w:rsidRPr="00B84716" w:rsidRDefault="00644E0D" w:rsidP="00F11A4A">
            <w:pPr>
              <w:jc w:val="center"/>
              <w:rPr>
                <w:color w:val="000000"/>
                <w:sz w:val="18"/>
                <w:szCs w:val="18"/>
              </w:rPr>
            </w:pPr>
            <w:r>
              <w:rPr>
                <w:color w:val="000000"/>
                <w:sz w:val="18"/>
                <w:szCs w:val="18"/>
              </w:rPr>
              <w:t>1 647</w:t>
            </w:r>
          </w:p>
        </w:tc>
        <w:tc>
          <w:tcPr>
            <w:tcW w:w="1275" w:type="dxa"/>
            <w:shd w:val="clear" w:color="auto" w:fill="auto"/>
            <w:vAlign w:val="center"/>
          </w:tcPr>
          <w:p w:rsidR="00644E0D" w:rsidRPr="00B84716" w:rsidRDefault="00644E0D" w:rsidP="00F11A4A">
            <w:pPr>
              <w:jc w:val="center"/>
              <w:rPr>
                <w:color w:val="000000"/>
                <w:sz w:val="18"/>
                <w:szCs w:val="18"/>
              </w:rPr>
            </w:pPr>
            <w:r>
              <w:rPr>
                <w:color w:val="000000"/>
                <w:sz w:val="18"/>
                <w:szCs w:val="18"/>
              </w:rPr>
              <w:t>1 639</w:t>
            </w:r>
          </w:p>
        </w:tc>
        <w:tc>
          <w:tcPr>
            <w:tcW w:w="1276" w:type="dxa"/>
            <w:shd w:val="clear" w:color="auto" w:fill="auto"/>
            <w:vAlign w:val="center"/>
          </w:tcPr>
          <w:p w:rsidR="00644E0D" w:rsidRPr="00B84716" w:rsidRDefault="00644E0D" w:rsidP="00F11A4A">
            <w:pPr>
              <w:jc w:val="center"/>
              <w:rPr>
                <w:color w:val="000000"/>
                <w:sz w:val="18"/>
                <w:szCs w:val="18"/>
              </w:rPr>
            </w:pPr>
            <w:r>
              <w:rPr>
                <w:color w:val="000000"/>
                <w:sz w:val="18"/>
                <w:szCs w:val="18"/>
              </w:rPr>
              <w:t>8</w:t>
            </w:r>
          </w:p>
        </w:tc>
      </w:tr>
      <w:tr w:rsidR="00644E0D" w:rsidRPr="00B84716" w:rsidTr="00CF5769">
        <w:trPr>
          <w:trHeight w:val="275"/>
        </w:trPr>
        <w:tc>
          <w:tcPr>
            <w:tcW w:w="5549" w:type="dxa"/>
            <w:shd w:val="clear" w:color="auto" w:fill="auto"/>
            <w:hideMark/>
          </w:tcPr>
          <w:p w:rsidR="00644E0D" w:rsidRPr="00F32C0C" w:rsidRDefault="00644E0D" w:rsidP="00685AC0">
            <w:pPr>
              <w:rPr>
                <w:iCs/>
                <w:color w:val="000000"/>
                <w:sz w:val="18"/>
                <w:szCs w:val="18"/>
                <w:lang w:val="en-US"/>
              </w:rPr>
            </w:pPr>
            <w:r w:rsidRPr="00F32C0C">
              <w:rPr>
                <w:iCs/>
                <w:color w:val="000000"/>
                <w:sz w:val="18"/>
                <w:szCs w:val="18"/>
                <w:lang w:val="en-US"/>
              </w:rPr>
              <w:t xml:space="preserve">Cash and cash equivalents at end of </w:t>
            </w:r>
            <w:r>
              <w:rPr>
                <w:iCs/>
                <w:color w:val="000000"/>
                <w:sz w:val="18"/>
                <w:szCs w:val="18"/>
                <w:lang w:val="en-US"/>
              </w:rPr>
              <w:t>period</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1 604</w:t>
            </w:r>
          </w:p>
        </w:tc>
        <w:tc>
          <w:tcPr>
            <w:tcW w:w="1275"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1 631</w:t>
            </w:r>
          </w:p>
        </w:tc>
        <w:tc>
          <w:tcPr>
            <w:tcW w:w="1276" w:type="dxa"/>
            <w:shd w:val="clear" w:color="auto" w:fill="auto"/>
            <w:vAlign w:val="center"/>
            <w:hideMark/>
          </w:tcPr>
          <w:p w:rsidR="00644E0D" w:rsidRPr="00B84716" w:rsidRDefault="00644E0D" w:rsidP="00F11A4A">
            <w:pPr>
              <w:jc w:val="center"/>
              <w:rPr>
                <w:color w:val="000000"/>
                <w:sz w:val="18"/>
                <w:szCs w:val="18"/>
              </w:rPr>
            </w:pPr>
            <w:r>
              <w:rPr>
                <w:color w:val="000000"/>
                <w:sz w:val="18"/>
                <w:szCs w:val="18"/>
              </w:rPr>
              <w:t>-27</w:t>
            </w:r>
          </w:p>
        </w:tc>
      </w:tr>
    </w:tbl>
    <w:p w:rsidR="002664E4" w:rsidRPr="00CB6448" w:rsidRDefault="002664E4" w:rsidP="002664E4">
      <w:pPr>
        <w:jc w:val="both"/>
        <w:rPr>
          <w:b/>
          <w:color w:val="000000" w:themeColor="text1"/>
          <w:sz w:val="18"/>
          <w:szCs w:val="18"/>
        </w:rPr>
      </w:pPr>
    </w:p>
    <w:p w:rsidR="002664E4" w:rsidRDefault="002664E4" w:rsidP="002664E4">
      <w:pPr>
        <w:tabs>
          <w:tab w:val="left" w:pos="426"/>
        </w:tabs>
        <w:autoSpaceDE w:val="0"/>
        <w:autoSpaceDN w:val="0"/>
        <w:adjustRightInd w:val="0"/>
        <w:ind w:left="-709" w:firstLine="709"/>
        <w:jc w:val="both"/>
        <w:rPr>
          <w:rStyle w:val="apple-style-span"/>
          <w:sz w:val="22"/>
          <w:szCs w:val="22"/>
          <w:shd w:val="clear" w:color="auto" w:fill="FFFFFF"/>
          <w:lang w:val="en-US"/>
        </w:rPr>
      </w:pPr>
      <w:r>
        <w:rPr>
          <w:rStyle w:val="apple-style-span"/>
          <w:sz w:val="22"/>
          <w:szCs w:val="22"/>
          <w:shd w:val="clear" w:color="auto" w:fill="FFFFFF"/>
          <w:lang w:val="en-US"/>
        </w:rPr>
        <w:t>T</w:t>
      </w:r>
      <w:r w:rsidRPr="003248A6">
        <w:rPr>
          <w:rStyle w:val="apple-style-span"/>
          <w:sz w:val="22"/>
          <w:szCs w:val="22"/>
          <w:shd w:val="clear" w:color="auto" w:fill="FFFFFF"/>
          <w:lang w:val="en-US"/>
        </w:rPr>
        <w:t xml:space="preserve">he following are specific factors </w:t>
      </w:r>
      <w:r>
        <w:rPr>
          <w:rStyle w:val="apple-style-span"/>
          <w:sz w:val="22"/>
          <w:szCs w:val="22"/>
          <w:shd w:val="clear" w:color="auto" w:fill="FFFFFF"/>
          <w:lang w:val="en-US"/>
        </w:rPr>
        <w:t xml:space="preserve">of </w:t>
      </w:r>
      <w:r w:rsidRPr="003248A6">
        <w:rPr>
          <w:rStyle w:val="apple-style-span"/>
          <w:sz w:val="22"/>
          <w:szCs w:val="22"/>
          <w:shd w:val="clear" w:color="auto" w:fill="FFFFFF"/>
          <w:lang w:val="en-US"/>
        </w:rPr>
        <w:t xml:space="preserve">changes in the </w:t>
      </w:r>
      <w:r w:rsidRPr="003248A6">
        <w:rPr>
          <w:rStyle w:val="apple-style-span"/>
          <w:b/>
          <w:i/>
          <w:sz w:val="22"/>
          <w:szCs w:val="22"/>
          <w:shd w:val="clear" w:color="auto" w:fill="FFFFFF"/>
          <w:lang w:val="en-US"/>
        </w:rPr>
        <w:t>cash inflow</w:t>
      </w:r>
      <w:r w:rsidRPr="003248A6">
        <w:rPr>
          <w:rStyle w:val="apple-style-span"/>
          <w:sz w:val="22"/>
          <w:szCs w:val="22"/>
          <w:shd w:val="clear" w:color="auto" w:fill="FFFFFF"/>
          <w:lang w:val="en-US"/>
        </w:rPr>
        <w:t xml:space="preserve"> in </w:t>
      </w:r>
      <w:r w:rsidR="007C6DED">
        <w:rPr>
          <w:rStyle w:val="apple-style-span"/>
          <w:sz w:val="22"/>
          <w:szCs w:val="22"/>
          <w:shd w:val="clear" w:color="auto" w:fill="FFFFFF"/>
          <w:lang w:val="en-US"/>
        </w:rPr>
        <w:t>the reporting period</w:t>
      </w:r>
      <w:r w:rsidRPr="003248A6">
        <w:rPr>
          <w:rStyle w:val="apple-style-span"/>
          <w:sz w:val="22"/>
          <w:szCs w:val="22"/>
          <w:shd w:val="clear" w:color="auto" w:fill="FFFFFF"/>
          <w:lang w:val="en-US"/>
        </w:rPr>
        <w:t xml:space="preserve"> compared to </w:t>
      </w:r>
      <w:r w:rsidR="007C6DED">
        <w:rPr>
          <w:rStyle w:val="apple-style-span"/>
          <w:sz w:val="22"/>
          <w:szCs w:val="22"/>
          <w:shd w:val="clear" w:color="auto" w:fill="FFFFFF"/>
          <w:lang w:val="en-US"/>
        </w:rPr>
        <w:t>the same period of 2011</w:t>
      </w:r>
      <w:r w:rsidRPr="003248A6">
        <w:rPr>
          <w:rStyle w:val="apple-style-span"/>
          <w:sz w:val="22"/>
          <w:szCs w:val="22"/>
          <w:shd w:val="clear" w:color="auto" w:fill="FFFFFF"/>
          <w:lang w:val="en-US"/>
        </w:rPr>
        <w:t xml:space="preserve">. </w:t>
      </w:r>
    </w:p>
    <w:p w:rsidR="00685AC0" w:rsidRPr="003248A6" w:rsidRDefault="00685AC0" w:rsidP="002664E4">
      <w:pPr>
        <w:tabs>
          <w:tab w:val="left" w:pos="426"/>
        </w:tabs>
        <w:autoSpaceDE w:val="0"/>
        <w:autoSpaceDN w:val="0"/>
        <w:adjustRightInd w:val="0"/>
        <w:ind w:left="-709" w:firstLine="709"/>
        <w:jc w:val="both"/>
        <w:rPr>
          <w:rStyle w:val="apple-style-span"/>
          <w:b/>
          <w:sz w:val="22"/>
          <w:szCs w:val="22"/>
          <w:shd w:val="clear" w:color="auto" w:fill="FFFFFF"/>
          <w:lang w:val="en-US"/>
        </w:rPr>
      </w:pPr>
    </w:p>
    <w:tbl>
      <w:tblPr>
        <w:tblW w:w="992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3"/>
        <w:gridCol w:w="1320"/>
      </w:tblGrid>
      <w:tr w:rsidR="002664E4" w:rsidRPr="00CB6448" w:rsidTr="00CF5769">
        <w:trPr>
          <w:trHeight w:val="420"/>
        </w:trPr>
        <w:tc>
          <w:tcPr>
            <w:tcW w:w="8603" w:type="dxa"/>
            <w:tcBorders>
              <w:bottom w:val="single" w:sz="4" w:space="0" w:color="auto"/>
            </w:tcBorders>
            <w:shd w:val="clear" w:color="000000" w:fill="FFFFFF"/>
            <w:noWrap/>
            <w:vAlign w:val="center"/>
            <w:hideMark/>
          </w:tcPr>
          <w:p w:rsidR="002664E4" w:rsidRPr="003248A6" w:rsidRDefault="002664E4" w:rsidP="00770BC8">
            <w:pPr>
              <w:jc w:val="center"/>
              <w:rPr>
                <w:b/>
                <w:bCs/>
                <w:color w:val="000000"/>
                <w:sz w:val="18"/>
                <w:szCs w:val="18"/>
                <w:lang w:val="en-US"/>
              </w:rPr>
            </w:pPr>
            <w:r>
              <w:rPr>
                <w:b/>
                <w:bCs/>
                <w:color w:val="000000"/>
                <w:sz w:val="18"/>
                <w:szCs w:val="18"/>
                <w:lang w:val="en-US"/>
              </w:rPr>
              <w:t>Factors</w:t>
            </w:r>
          </w:p>
        </w:tc>
        <w:tc>
          <w:tcPr>
            <w:tcW w:w="1320" w:type="dxa"/>
            <w:tcBorders>
              <w:bottom w:val="single" w:sz="4" w:space="0" w:color="auto"/>
            </w:tcBorders>
            <w:shd w:val="clear" w:color="000000" w:fill="FFFFFF"/>
            <w:vAlign w:val="center"/>
          </w:tcPr>
          <w:p w:rsidR="002664E4" w:rsidRPr="003248A6" w:rsidRDefault="002664E4" w:rsidP="00770BC8">
            <w:pPr>
              <w:jc w:val="center"/>
              <w:rPr>
                <w:b/>
                <w:bCs/>
                <w:color w:val="000000"/>
                <w:sz w:val="18"/>
                <w:szCs w:val="18"/>
                <w:lang w:val="en-US"/>
              </w:rPr>
            </w:pPr>
            <w:r>
              <w:rPr>
                <w:b/>
                <w:bCs/>
                <w:color w:val="000000"/>
                <w:sz w:val="18"/>
                <w:szCs w:val="18"/>
                <w:lang w:val="en-US"/>
              </w:rPr>
              <w:t xml:space="preserve">Changes, </w:t>
            </w:r>
            <w:r w:rsidR="000A43AE">
              <w:rPr>
                <w:b/>
                <w:bCs/>
                <w:color w:val="000000"/>
                <w:sz w:val="18"/>
                <w:szCs w:val="18"/>
                <w:lang w:val="en-US"/>
              </w:rPr>
              <w:t>billion</w:t>
            </w:r>
            <w:r>
              <w:rPr>
                <w:b/>
                <w:bCs/>
                <w:color w:val="000000"/>
                <w:sz w:val="18"/>
                <w:szCs w:val="18"/>
                <w:lang w:val="en-US"/>
              </w:rPr>
              <w:t xml:space="preserve"> KZT</w:t>
            </w:r>
          </w:p>
        </w:tc>
      </w:tr>
      <w:tr w:rsidR="007C6DED" w:rsidRPr="00CB6448" w:rsidTr="00CF5769">
        <w:trPr>
          <w:trHeight w:val="743"/>
        </w:trPr>
        <w:tc>
          <w:tcPr>
            <w:tcW w:w="8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DED" w:rsidRPr="009371EB" w:rsidRDefault="007C6DED" w:rsidP="007C6DED">
            <w:pPr>
              <w:rPr>
                <w:color w:val="000000"/>
                <w:sz w:val="18"/>
                <w:szCs w:val="18"/>
                <w:lang w:val="en-US"/>
              </w:rPr>
            </w:pPr>
            <w:r w:rsidRPr="003248A6">
              <w:rPr>
                <w:b/>
                <w:color w:val="000000"/>
                <w:sz w:val="18"/>
                <w:szCs w:val="18"/>
                <w:lang w:val="en-US"/>
              </w:rPr>
              <w:t>Net cash inflow from operating activities</w:t>
            </w:r>
            <w:r w:rsidRPr="003248A6">
              <w:rPr>
                <w:color w:val="000000"/>
                <w:sz w:val="18"/>
                <w:szCs w:val="18"/>
                <w:lang w:val="en-US"/>
              </w:rPr>
              <w:t xml:space="preserve"> </w:t>
            </w:r>
            <w:r w:rsidRPr="003248A6">
              <w:rPr>
                <w:b/>
                <w:color w:val="000000"/>
                <w:sz w:val="18"/>
                <w:szCs w:val="18"/>
                <w:lang w:val="en-US"/>
              </w:rPr>
              <w:t xml:space="preserve"> </w:t>
            </w:r>
            <w:r w:rsidRPr="009371EB">
              <w:rPr>
                <w:color w:val="000000"/>
                <w:sz w:val="18"/>
                <w:szCs w:val="18"/>
                <w:lang w:val="en-US"/>
              </w:rPr>
              <w:t>compared to H1 2011 decreased due to:</w:t>
            </w:r>
          </w:p>
          <w:p w:rsidR="007C6DED" w:rsidRPr="009371EB" w:rsidRDefault="007C6DED" w:rsidP="007C6DED">
            <w:pPr>
              <w:rPr>
                <w:color w:val="000000"/>
                <w:sz w:val="18"/>
                <w:szCs w:val="18"/>
                <w:lang w:val="en-US"/>
              </w:rPr>
            </w:pPr>
            <w:r w:rsidRPr="009371EB">
              <w:rPr>
                <w:color w:val="000000"/>
                <w:sz w:val="18"/>
                <w:szCs w:val="18"/>
                <w:lang w:val="en-US"/>
              </w:rPr>
              <w:t>• decrease in operating profit by KZT 528 billion;</w:t>
            </w:r>
          </w:p>
          <w:p w:rsidR="007C6DED" w:rsidRPr="00C664C6" w:rsidRDefault="007C6DED" w:rsidP="00717954">
            <w:pPr>
              <w:rPr>
                <w:color w:val="000000"/>
                <w:sz w:val="16"/>
                <w:szCs w:val="16"/>
                <w:lang w:val="en-US"/>
              </w:rPr>
            </w:pPr>
            <w:r w:rsidRPr="009371EB">
              <w:rPr>
                <w:color w:val="000000"/>
                <w:sz w:val="18"/>
                <w:szCs w:val="18"/>
                <w:lang w:val="en-US"/>
              </w:rPr>
              <w:t>• changes in working capital due to reduced customer funds placed on term deposits by KZT 171 billion, increasing the amount of loans by KZT 8</w:t>
            </w:r>
            <w:r w:rsidR="00717954" w:rsidRPr="00717954">
              <w:rPr>
                <w:color w:val="000000"/>
                <w:sz w:val="18"/>
                <w:szCs w:val="18"/>
                <w:lang w:val="en-US"/>
              </w:rPr>
              <w:t>7</w:t>
            </w:r>
            <w:r w:rsidRPr="009371EB">
              <w:rPr>
                <w:color w:val="000000"/>
                <w:sz w:val="18"/>
                <w:szCs w:val="18"/>
                <w:lang w:val="en-US"/>
              </w:rPr>
              <w:t xml:space="preserve"> billion, the volume change of inventories by KZT 49 billion.</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tcPr>
          <w:p w:rsidR="007C6DED" w:rsidRPr="008B0906" w:rsidRDefault="007C6DED" w:rsidP="00644E0D">
            <w:pPr>
              <w:jc w:val="center"/>
              <w:rPr>
                <w:b/>
                <w:bCs/>
                <w:color w:val="000000"/>
                <w:sz w:val="18"/>
                <w:szCs w:val="18"/>
              </w:rPr>
            </w:pPr>
            <w:r>
              <w:rPr>
                <w:b/>
                <w:bCs/>
                <w:color w:val="000000"/>
                <w:sz w:val="18"/>
                <w:szCs w:val="18"/>
              </w:rPr>
              <w:t>-2</w:t>
            </w:r>
            <w:r w:rsidR="00644E0D">
              <w:rPr>
                <w:b/>
                <w:bCs/>
                <w:color w:val="000000"/>
                <w:sz w:val="18"/>
                <w:szCs w:val="18"/>
              </w:rPr>
              <w:t>38</w:t>
            </w:r>
          </w:p>
        </w:tc>
      </w:tr>
      <w:tr w:rsidR="007C6DED" w:rsidRPr="00B53552" w:rsidTr="00CF5769">
        <w:trPr>
          <w:trHeight w:val="312"/>
        </w:trPr>
        <w:tc>
          <w:tcPr>
            <w:tcW w:w="8603" w:type="dxa"/>
            <w:tcBorders>
              <w:top w:val="single" w:sz="4" w:space="0" w:color="auto"/>
            </w:tcBorders>
            <w:shd w:val="clear" w:color="000000" w:fill="FFFFFF"/>
            <w:noWrap/>
            <w:vAlign w:val="center"/>
            <w:hideMark/>
          </w:tcPr>
          <w:p w:rsidR="007C6DED" w:rsidRPr="009371EB" w:rsidRDefault="007C6DED" w:rsidP="007C6DED">
            <w:pPr>
              <w:rPr>
                <w:color w:val="000000"/>
                <w:sz w:val="18"/>
                <w:szCs w:val="18"/>
                <w:lang w:val="en-US"/>
              </w:rPr>
            </w:pPr>
            <w:r w:rsidRPr="003248A6">
              <w:rPr>
                <w:b/>
                <w:iCs/>
                <w:color w:val="000000"/>
                <w:sz w:val="18"/>
                <w:szCs w:val="18"/>
                <w:lang w:val="en-US"/>
              </w:rPr>
              <w:t>Net cash outflow in investing activities</w:t>
            </w:r>
            <w:r w:rsidRPr="003248A6">
              <w:rPr>
                <w:color w:val="000000"/>
                <w:sz w:val="16"/>
                <w:szCs w:val="16"/>
                <w:lang w:val="en-US"/>
              </w:rPr>
              <w:t xml:space="preserve"> </w:t>
            </w:r>
            <w:r w:rsidRPr="009371EB">
              <w:rPr>
                <w:color w:val="000000"/>
                <w:sz w:val="18"/>
                <w:szCs w:val="18"/>
                <w:lang w:val="en-US"/>
              </w:rPr>
              <w:t>compared to H1 2011 decreased primarily due to:</w:t>
            </w:r>
          </w:p>
          <w:p w:rsidR="007C6DED" w:rsidRPr="009371EB" w:rsidRDefault="007C6DED" w:rsidP="007C6DED">
            <w:pPr>
              <w:rPr>
                <w:color w:val="000000"/>
                <w:sz w:val="18"/>
                <w:szCs w:val="18"/>
                <w:lang w:val="en-US"/>
              </w:rPr>
            </w:pPr>
            <w:r w:rsidRPr="009371EB">
              <w:rPr>
                <w:color w:val="000000"/>
                <w:sz w:val="18"/>
                <w:szCs w:val="18"/>
                <w:lang w:val="en-US"/>
              </w:rPr>
              <w:t xml:space="preserve">• proceeds from the sale of associated companies (49% interest in LLP “GSM Kazakhstan JSC “ </w:t>
            </w:r>
            <w:proofErr w:type="spellStart"/>
            <w:r w:rsidRPr="009371EB">
              <w:rPr>
                <w:color w:val="000000"/>
                <w:sz w:val="18"/>
                <w:szCs w:val="18"/>
                <w:lang w:val="en-US"/>
              </w:rPr>
              <w:t>Kazakhtelecom</w:t>
            </w:r>
            <w:proofErr w:type="spellEnd"/>
            <w:r w:rsidRPr="009371EB">
              <w:rPr>
                <w:color w:val="000000"/>
                <w:sz w:val="18"/>
                <w:szCs w:val="18"/>
                <w:lang w:val="en-US"/>
              </w:rPr>
              <w:t xml:space="preserve">”) by KZT 226 billion, from the sale of financial assets (preferred shares of “Halyk Bank of Kazakhstan” JSC) by </w:t>
            </w:r>
            <w:r w:rsidRPr="009371EB">
              <w:rPr>
                <w:color w:val="000000"/>
                <w:sz w:val="18"/>
                <w:szCs w:val="18"/>
                <w:lang w:val="en-US"/>
              </w:rPr>
              <w:lastRenderedPageBreak/>
              <w:t>KZT 77 billion;</w:t>
            </w:r>
          </w:p>
          <w:p w:rsidR="007C6DED" w:rsidRPr="009371EB" w:rsidRDefault="007C6DED" w:rsidP="007C6DED">
            <w:pPr>
              <w:rPr>
                <w:color w:val="000000"/>
                <w:sz w:val="18"/>
                <w:szCs w:val="18"/>
                <w:lang w:val="en-US"/>
              </w:rPr>
            </w:pPr>
            <w:r w:rsidRPr="009371EB">
              <w:rPr>
                <w:color w:val="000000"/>
                <w:sz w:val="18"/>
                <w:szCs w:val="18"/>
                <w:lang w:val="en-US"/>
              </w:rPr>
              <w:t>• increasing the dividends received from jointly controlled entities and associates by KZT 8</w:t>
            </w:r>
            <w:r w:rsidR="00717954" w:rsidRPr="00717954">
              <w:rPr>
                <w:color w:val="000000"/>
                <w:sz w:val="18"/>
                <w:szCs w:val="18"/>
                <w:lang w:val="en-US"/>
              </w:rPr>
              <w:t>6</w:t>
            </w:r>
            <w:r w:rsidRPr="009371EB">
              <w:rPr>
                <w:color w:val="000000"/>
                <w:sz w:val="18"/>
                <w:szCs w:val="18"/>
                <w:lang w:val="en-US"/>
              </w:rPr>
              <w:t xml:space="preserve"> billion.</w:t>
            </w:r>
          </w:p>
          <w:p w:rsidR="007C6DED" w:rsidRPr="003248A6" w:rsidRDefault="007C6DED" w:rsidP="007C6DED">
            <w:pPr>
              <w:rPr>
                <w:color w:val="000000"/>
                <w:sz w:val="18"/>
                <w:szCs w:val="18"/>
                <w:lang w:val="en-US"/>
              </w:rPr>
            </w:pPr>
            <w:r w:rsidRPr="009371EB">
              <w:rPr>
                <w:color w:val="000000"/>
                <w:sz w:val="18"/>
                <w:szCs w:val="18"/>
                <w:lang w:val="en-US"/>
              </w:rPr>
              <w:t xml:space="preserve">• at the same time, the </w:t>
            </w:r>
            <w:r w:rsidR="00BD0DEC">
              <w:rPr>
                <w:color w:val="000000"/>
                <w:sz w:val="18"/>
                <w:szCs w:val="18"/>
                <w:lang w:val="en-US"/>
              </w:rPr>
              <w:t xml:space="preserve">cash </w:t>
            </w:r>
            <w:r w:rsidRPr="009371EB">
              <w:rPr>
                <w:color w:val="000000"/>
                <w:sz w:val="18"/>
                <w:szCs w:val="18"/>
                <w:lang w:val="en-US"/>
              </w:rPr>
              <w:t>amount of funds placed in bank deposits is increased by KZT 216 billion, funds of KZT 73 billion for purchases of fixed assets.</w:t>
            </w:r>
          </w:p>
        </w:tc>
        <w:tc>
          <w:tcPr>
            <w:tcW w:w="1320" w:type="dxa"/>
            <w:tcBorders>
              <w:top w:val="single" w:sz="4" w:space="0" w:color="auto"/>
            </w:tcBorders>
            <w:shd w:val="clear" w:color="000000" w:fill="FFFFFF"/>
            <w:vAlign w:val="center"/>
          </w:tcPr>
          <w:p w:rsidR="007C6DED" w:rsidRPr="008B0906" w:rsidRDefault="007C6DED" w:rsidP="00644E0D">
            <w:pPr>
              <w:jc w:val="center"/>
              <w:rPr>
                <w:b/>
                <w:bCs/>
                <w:color w:val="000000"/>
                <w:sz w:val="18"/>
                <w:szCs w:val="18"/>
              </w:rPr>
            </w:pPr>
            <w:r>
              <w:rPr>
                <w:b/>
                <w:bCs/>
                <w:color w:val="000000"/>
                <w:sz w:val="18"/>
                <w:szCs w:val="18"/>
              </w:rPr>
              <w:lastRenderedPageBreak/>
              <w:t>14</w:t>
            </w:r>
            <w:r w:rsidR="00644E0D">
              <w:rPr>
                <w:b/>
                <w:bCs/>
                <w:color w:val="000000"/>
                <w:sz w:val="18"/>
                <w:szCs w:val="18"/>
              </w:rPr>
              <w:t>0</w:t>
            </w:r>
          </w:p>
        </w:tc>
      </w:tr>
      <w:tr w:rsidR="007C6DED" w:rsidRPr="00B53552" w:rsidTr="00CF5769">
        <w:trPr>
          <w:trHeight w:val="312"/>
        </w:trPr>
        <w:tc>
          <w:tcPr>
            <w:tcW w:w="8603" w:type="dxa"/>
            <w:shd w:val="clear" w:color="000000" w:fill="FFFFFF"/>
            <w:noWrap/>
            <w:vAlign w:val="center"/>
            <w:hideMark/>
          </w:tcPr>
          <w:p w:rsidR="007C6DED" w:rsidRPr="003248A6" w:rsidRDefault="007C6DED" w:rsidP="00994B17">
            <w:pPr>
              <w:rPr>
                <w:color w:val="000000"/>
                <w:sz w:val="18"/>
                <w:szCs w:val="18"/>
                <w:lang w:val="en-US"/>
              </w:rPr>
            </w:pPr>
            <w:r w:rsidRPr="003248A6">
              <w:rPr>
                <w:b/>
                <w:color w:val="000000"/>
                <w:sz w:val="18"/>
                <w:szCs w:val="18"/>
                <w:lang w:val="en-US"/>
              </w:rPr>
              <w:lastRenderedPageBreak/>
              <w:t> </w:t>
            </w:r>
            <w:r w:rsidRPr="003248A6">
              <w:rPr>
                <w:b/>
                <w:iCs/>
                <w:color w:val="000000"/>
                <w:sz w:val="18"/>
                <w:szCs w:val="18"/>
                <w:lang w:val="en-US"/>
              </w:rPr>
              <w:t>Net cash inflow / (outflow) from financing activities</w:t>
            </w:r>
            <w:r w:rsidRPr="003248A6">
              <w:rPr>
                <w:color w:val="000000"/>
                <w:sz w:val="16"/>
                <w:szCs w:val="16"/>
                <w:lang w:val="en-US"/>
              </w:rPr>
              <w:t xml:space="preserve"> </w:t>
            </w:r>
            <w:r w:rsidRPr="009371EB">
              <w:rPr>
                <w:color w:val="000000"/>
                <w:sz w:val="18"/>
                <w:szCs w:val="18"/>
                <w:lang w:val="en-US"/>
              </w:rPr>
              <w:t>in the 1st half of 2011 decreased as a result of the increase</w:t>
            </w:r>
            <w:r w:rsidR="00994B17" w:rsidRPr="00994B17">
              <w:rPr>
                <w:color w:val="000000"/>
                <w:sz w:val="18"/>
                <w:szCs w:val="18"/>
                <w:lang w:val="en-US"/>
              </w:rPr>
              <w:t>:</w:t>
            </w:r>
            <w:r w:rsidRPr="009371EB">
              <w:rPr>
                <w:color w:val="000000"/>
                <w:sz w:val="18"/>
                <w:szCs w:val="18"/>
                <w:lang w:val="en-US"/>
              </w:rPr>
              <w:t xml:space="preserve"> in income on loans i</w:t>
            </w:r>
            <w:r w:rsidR="00994B17">
              <w:rPr>
                <w:color w:val="000000"/>
                <w:sz w:val="18"/>
                <w:szCs w:val="18"/>
                <w:lang w:val="en-US"/>
              </w:rPr>
              <w:t>n the amount of KZT 275 billion</w:t>
            </w:r>
            <w:r w:rsidR="00994B17" w:rsidRPr="00994B17">
              <w:rPr>
                <w:color w:val="000000"/>
                <w:sz w:val="18"/>
                <w:szCs w:val="18"/>
                <w:lang w:val="en-US"/>
              </w:rPr>
              <w:t>;</w:t>
            </w:r>
            <w:r w:rsidRPr="009371EB">
              <w:rPr>
                <w:color w:val="000000"/>
                <w:sz w:val="18"/>
                <w:szCs w:val="18"/>
                <w:lang w:val="en-US"/>
              </w:rPr>
              <w:t xml:space="preserve"> the amount of dividends paid to shareholders and minority shareholders of the subsidiary, in the amount of KZT 2</w:t>
            </w:r>
            <w:r w:rsidR="00717954" w:rsidRPr="00717954">
              <w:rPr>
                <w:color w:val="000000"/>
                <w:sz w:val="18"/>
                <w:szCs w:val="18"/>
                <w:lang w:val="en-US"/>
              </w:rPr>
              <w:t>45</w:t>
            </w:r>
            <w:r w:rsidRPr="009371EB">
              <w:rPr>
                <w:color w:val="000000"/>
                <w:sz w:val="18"/>
                <w:szCs w:val="18"/>
                <w:lang w:val="en-US"/>
              </w:rPr>
              <w:t xml:space="preserve"> billion.</w:t>
            </w:r>
          </w:p>
        </w:tc>
        <w:tc>
          <w:tcPr>
            <w:tcW w:w="1320" w:type="dxa"/>
            <w:shd w:val="clear" w:color="000000" w:fill="FFFFFF"/>
            <w:vAlign w:val="center"/>
          </w:tcPr>
          <w:p w:rsidR="007C6DED" w:rsidRPr="00E05A20" w:rsidRDefault="00644E0D" w:rsidP="00AF47B9">
            <w:pPr>
              <w:jc w:val="center"/>
              <w:rPr>
                <w:b/>
                <w:bCs/>
                <w:sz w:val="18"/>
                <w:szCs w:val="18"/>
              </w:rPr>
            </w:pPr>
            <w:r>
              <w:rPr>
                <w:b/>
                <w:bCs/>
                <w:sz w:val="18"/>
                <w:szCs w:val="18"/>
              </w:rPr>
              <w:t>56</w:t>
            </w:r>
          </w:p>
        </w:tc>
      </w:tr>
    </w:tbl>
    <w:p w:rsidR="002664E4" w:rsidRDefault="002664E4" w:rsidP="002664E4">
      <w:pPr>
        <w:jc w:val="both"/>
        <w:rPr>
          <w:b/>
          <w:color w:val="000000" w:themeColor="text1"/>
          <w:sz w:val="22"/>
          <w:szCs w:val="22"/>
        </w:rPr>
      </w:pPr>
    </w:p>
    <w:p w:rsidR="00277B77" w:rsidRDefault="00277B77" w:rsidP="002664E4">
      <w:pPr>
        <w:jc w:val="both"/>
        <w:rPr>
          <w:b/>
          <w:color w:val="000000" w:themeColor="text1"/>
          <w:sz w:val="22"/>
          <w:szCs w:val="22"/>
        </w:rPr>
      </w:pPr>
    </w:p>
    <w:p w:rsidR="00614ABF" w:rsidRDefault="00614ABF" w:rsidP="00614ABF">
      <w:pPr>
        <w:jc w:val="both"/>
        <w:rPr>
          <w:b/>
          <w:color w:val="000000" w:themeColor="text1"/>
          <w:sz w:val="22"/>
          <w:szCs w:val="22"/>
        </w:rPr>
      </w:pPr>
    </w:p>
    <w:p w:rsidR="00614ABF" w:rsidRPr="005031B3" w:rsidRDefault="00614ABF" w:rsidP="00614ABF">
      <w:pPr>
        <w:jc w:val="both"/>
        <w:rPr>
          <w:b/>
          <w:sz w:val="22"/>
          <w:szCs w:val="22"/>
          <w:lang w:val="en-US"/>
        </w:rPr>
      </w:pPr>
      <w:r w:rsidRPr="00614ABF">
        <w:rPr>
          <w:b/>
          <w:color w:val="000000" w:themeColor="text1"/>
          <w:sz w:val="22"/>
          <w:szCs w:val="22"/>
          <w:lang w:val="en-US"/>
        </w:rPr>
        <w:t>2.</w:t>
      </w:r>
      <w:r w:rsidRPr="00614ABF">
        <w:rPr>
          <w:b/>
          <w:color w:val="FF0000"/>
          <w:sz w:val="22"/>
          <w:szCs w:val="22"/>
          <w:lang w:val="en-US"/>
        </w:rPr>
        <w:t xml:space="preserve">  </w:t>
      </w:r>
      <w:r>
        <w:rPr>
          <w:b/>
          <w:sz w:val="22"/>
          <w:szCs w:val="22"/>
          <w:lang w:val="en-US"/>
        </w:rPr>
        <w:t xml:space="preserve">Analysis of financial stability </w:t>
      </w:r>
    </w:p>
    <w:p w:rsidR="00614ABF" w:rsidRPr="005031B3" w:rsidRDefault="00614ABF" w:rsidP="00614ABF">
      <w:pPr>
        <w:ind w:left="-567" w:firstLine="567"/>
        <w:jc w:val="both"/>
        <w:rPr>
          <w:sz w:val="22"/>
          <w:szCs w:val="22"/>
          <w:lang w:val="en-US"/>
        </w:rPr>
      </w:pPr>
    </w:p>
    <w:p w:rsidR="00614ABF" w:rsidRPr="00ED5536" w:rsidRDefault="00614ABF" w:rsidP="00614ABF">
      <w:pPr>
        <w:ind w:left="-567" w:firstLine="567"/>
        <w:jc w:val="both"/>
        <w:rPr>
          <w:sz w:val="22"/>
          <w:szCs w:val="22"/>
          <w:lang w:val="en-US"/>
        </w:rPr>
      </w:pPr>
      <w:r w:rsidRPr="00ED5536">
        <w:rPr>
          <w:sz w:val="22"/>
          <w:szCs w:val="22"/>
          <w:lang w:val="en-US"/>
        </w:rPr>
        <w:t xml:space="preserve">In January 2012 the event of default </w:t>
      </w:r>
      <w:r>
        <w:rPr>
          <w:sz w:val="22"/>
          <w:szCs w:val="22"/>
          <w:lang w:val="en-US"/>
        </w:rPr>
        <w:t>in “</w:t>
      </w:r>
      <w:r w:rsidRPr="00ED5536">
        <w:rPr>
          <w:sz w:val="22"/>
          <w:szCs w:val="22"/>
          <w:lang w:val="en-US"/>
        </w:rPr>
        <w:t>BTA Bank</w:t>
      </w:r>
      <w:r>
        <w:rPr>
          <w:sz w:val="22"/>
          <w:szCs w:val="22"/>
          <w:lang w:val="en-US"/>
        </w:rPr>
        <w:t>” JSC</w:t>
      </w:r>
      <w:r w:rsidRPr="00ED5536">
        <w:rPr>
          <w:sz w:val="22"/>
          <w:szCs w:val="22"/>
          <w:lang w:val="en-US"/>
        </w:rPr>
        <w:t xml:space="preserve"> occurred on the senior bonds, debt instruments with a special discount and subordinated bonds, due to the fact that there was no coupon interest paid on these bonds.</w:t>
      </w:r>
    </w:p>
    <w:p w:rsidR="00614ABF" w:rsidRPr="00ED5536" w:rsidRDefault="00614ABF" w:rsidP="00614ABF">
      <w:pPr>
        <w:ind w:left="-567" w:firstLine="567"/>
        <w:jc w:val="both"/>
        <w:rPr>
          <w:sz w:val="22"/>
          <w:szCs w:val="22"/>
          <w:lang w:val="en-US"/>
        </w:rPr>
      </w:pPr>
      <w:r>
        <w:rPr>
          <w:sz w:val="22"/>
          <w:szCs w:val="22"/>
          <w:lang w:val="en-US"/>
        </w:rPr>
        <w:t xml:space="preserve">On </w:t>
      </w:r>
      <w:r w:rsidRPr="00ED5536">
        <w:rPr>
          <w:sz w:val="22"/>
          <w:szCs w:val="22"/>
          <w:lang w:val="en-US"/>
        </w:rPr>
        <w:t xml:space="preserve">April 23, 2012 </w:t>
      </w:r>
      <w:r>
        <w:rPr>
          <w:sz w:val="22"/>
          <w:szCs w:val="22"/>
          <w:lang w:val="en-US"/>
        </w:rPr>
        <w:t>“</w:t>
      </w:r>
      <w:r w:rsidRPr="00ED5536">
        <w:rPr>
          <w:sz w:val="22"/>
          <w:szCs w:val="22"/>
          <w:lang w:val="en-US"/>
        </w:rPr>
        <w:t>BTA Bank</w:t>
      </w:r>
      <w:r>
        <w:rPr>
          <w:sz w:val="22"/>
          <w:szCs w:val="22"/>
          <w:lang w:val="en-US"/>
        </w:rPr>
        <w:t>”</w:t>
      </w:r>
      <w:r w:rsidRPr="00ED5536">
        <w:rPr>
          <w:sz w:val="22"/>
          <w:szCs w:val="22"/>
          <w:lang w:val="en-US"/>
        </w:rPr>
        <w:t xml:space="preserve"> JSC announced the suspension</w:t>
      </w:r>
      <w:r>
        <w:rPr>
          <w:sz w:val="22"/>
          <w:szCs w:val="22"/>
          <w:lang w:val="en-US"/>
        </w:rPr>
        <w:t xml:space="preserve"> of all payments in respect of the</w:t>
      </w:r>
      <w:r w:rsidRPr="00ED5536">
        <w:rPr>
          <w:sz w:val="22"/>
          <w:szCs w:val="22"/>
          <w:lang w:val="en-US"/>
        </w:rPr>
        <w:t xml:space="preserve"> bond</w:t>
      </w:r>
      <w:r>
        <w:rPr>
          <w:sz w:val="22"/>
          <w:szCs w:val="22"/>
          <w:lang w:val="en-US"/>
        </w:rPr>
        <w:t>s for recovery</w:t>
      </w:r>
      <w:r w:rsidRPr="00ED5536">
        <w:rPr>
          <w:sz w:val="22"/>
          <w:szCs w:val="22"/>
          <w:lang w:val="en-US"/>
        </w:rPr>
        <w:t>.</w:t>
      </w:r>
    </w:p>
    <w:p w:rsidR="00614ABF" w:rsidRPr="00ED5536" w:rsidRDefault="00614ABF" w:rsidP="00614ABF">
      <w:pPr>
        <w:ind w:left="-567" w:firstLine="567"/>
        <w:jc w:val="both"/>
        <w:rPr>
          <w:sz w:val="22"/>
          <w:szCs w:val="22"/>
          <w:lang w:val="en-US"/>
        </w:rPr>
      </w:pPr>
      <w:r>
        <w:rPr>
          <w:sz w:val="22"/>
          <w:szCs w:val="22"/>
          <w:lang w:val="en-US"/>
        </w:rPr>
        <w:t xml:space="preserve">On </w:t>
      </w:r>
      <w:r w:rsidRPr="00ED5536">
        <w:rPr>
          <w:sz w:val="22"/>
          <w:szCs w:val="22"/>
          <w:lang w:val="en-US"/>
        </w:rPr>
        <w:t xml:space="preserve">April 28, 2012 </w:t>
      </w:r>
      <w:r>
        <w:rPr>
          <w:sz w:val="22"/>
          <w:szCs w:val="22"/>
          <w:lang w:val="en-US"/>
        </w:rPr>
        <w:t>“</w:t>
      </w:r>
      <w:r w:rsidRPr="00ED5536">
        <w:rPr>
          <w:sz w:val="22"/>
          <w:szCs w:val="22"/>
          <w:lang w:val="en-US"/>
        </w:rPr>
        <w:t>BTA Bank</w:t>
      </w:r>
      <w:r>
        <w:rPr>
          <w:sz w:val="22"/>
          <w:szCs w:val="22"/>
          <w:lang w:val="en-US"/>
        </w:rPr>
        <w:t>”</w:t>
      </w:r>
      <w:r w:rsidRPr="00ED5536">
        <w:rPr>
          <w:sz w:val="22"/>
          <w:szCs w:val="22"/>
          <w:lang w:val="en-US"/>
        </w:rPr>
        <w:t xml:space="preserve"> JSC received notice of early redemption of the bonds for </w:t>
      </w:r>
      <w:r>
        <w:rPr>
          <w:sz w:val="22"/>
          <w:szCs w:val="22"/>
          <w:lang w:val="en-US"/>
        </w:rPr>
        <w:t>recovery</w:t>
      </w:r>
      <w:r w:rsidRPr="00ED5536">
        <w:rPr>
          <w:sz w:val="22"/>
          <w:szCs w:val="22"/>
          <w:lang w:val="en-US"/>
        </w:rPr>
        <w:t xml:space="preserve">, the original total base of </w:t>
      </w:r>
      <w:r>
        <w:rPr>
          <w:sz w:val="22"/>
          <w:szCs w:val="22"/>
          <w:lang w:val="en-US"/>
        </w:rPr>
        <w:t xml:space="preserve">which was USD </w:t>
      </w:r>
      <w:r w:rsidRPr="00ED5536">
        <w:rPr>
          <w:sz w:val="22"/>
          <w:szCs w:val="22"/>
          <w:lang w:val="en-US"/>
        </w:rPr>
        <w:t xml:space="preserve">5.2 billion, </w:t>
      </w:r>
      <w:r>
        <w:rPr>
          <w:sz w:val="22"/>
          <w:szCs w:val="22"/>
          <w:lang w:val="en-US"/>
        </w:rPr>
        <w:t>from</w:t>
      </w:r>
      <w:r w:rsidRPr="00ED5536">
        <w:rPr>
          <w:sz w:val="22"/>
          <w:szCs w:val="22"/>
          <w:lang w:val="en-US"/>
        </w:rPr>
        <w:t xml:space="preserve"> BNY Mellon Corporate Trustee Services Limited. As </w:t>
      </w:r>
      <w:r>
        <w:rPr>
          <w:sz w:val="22"/>
          <w:szCs w:val="22"/>
          <w:lang w:val="en-US"/>
        </w:rPr>
        <w:t>the</w:t>
      </w:r>
      <w:r w:rsidRPr="00ED5536">
        <w:rPr>
          <w:sz w:val="22"/>
          <w:szCs w:val="22"/>
          <w:lang w:val="en-US"/>
        </w:rPr>
        <w:t xml:space="preserve"> result of the above</w:t>
      </w:r>
      <w:r>
        <w:rPr>
          <w:sz w:val="22"/>
          <w:szCs w:val="22"/>
          <w:lang w:val="en-US"/>
        </w:rPr>
        <w:t>mentioned</w:t>
      </w:r>
      <w:r w:rsidRPr="00ED5536">
        <w:rPr>
          <w:sz w:val="22"/>
          <w:szCs w:val="22"/>
          <w:lang w:val="en-US"/>
        </w:rPr>
        <w:t xml:space="preserve"> events, expenses on bonds for recovery during the six months of 2012 are recognized </w:t>
      </w:r>
      <w:r>
        <w:rPr>
          <w:sz w:val="22"/>
          <w:szCs w:val="22"/>
          <w:lang w:val="en-US"/>
        </w:rPr>
        <w:t>in the amount</w:t>
      </w:r>
      <w:r w:rsidRPr="00ED5536">
        <w:rPr>
          <w:sz w:val="22"/>
          <w:szCs w:val="22"/>
          <w:lang w:val="en-US"/>
        </w:rPr>
        <w:t xml:space="preserve"> of </w:t>
      </w:r>
      <w:r>
        <w:rPr>
          <w:sz w:val="22"/>
          <w:szCs w:val="22"/>
          <w:lang w:val="en-US"/>
        </w:rPr>
        <w:t>KZT</w:t>
      </w:r>
      <w:r w:rsidRPr="00ED5536">
        <w:rPr>
          <w:sz w:val="22"/>
          <w:szCs w:val="22"/>
          <w:lang w:val="en-US"/>
        </w:rPr>
        <w:t xml:space="preserve"> 631 billion.</w:t>
      </w:r>
    </w:p>
    <w:p w:rsidR="00614ABF" w:rsidRPr="00ED5536" w:rsidRDefault="00614ABF" w:rsidP="00614ABF">
      <w:pPr>
        <w:ind w:left="-567" w:firstLine="567"/>
        <w:jc w:val="both"/>
        <w:rPr>
          <w:sz w:val="22"/>
          <w:szCs w:val="22"/>
          <w:lang w:val="en-US"/>
        </w:rPr>
      </w:pPr>
      <w:r w:rsidRPr="00ED5536">
        <w:rPr>
          <w:sz w:val="22"/>
          <w:szCs w:val="22"/>
          <w:lang w:val="en-US"/>
        </w:rPr>
        <w:t xml:space="preserve">In addition, in June 2012, in order to acquire a 5% stake in the Karachaganak project, through the acquisition of 50% </w:t>
      </w:r>
      <w:r>
        <w:rPr>
          <w:sz w:val="22"/>
          <w:szCs w:val="22"/>
          <w:lang w:val="en-US"/>
        </w:rPr>
        <w:t>in</w:t>
      </w:r>
      <w:r w:rsidRPr="00ED5536">
        <w:rPr>
          <w:sz w:val="22"/>
          <w:szCs w:val="22"/>
          <w:lang w:val="en-US"/>
        </w:rPr>
        <w:t xml:space="preserve"> </w:t>
      </w:r>
      <w:r>
        <w:rPr>
          <w:sz w:val="22"/>
          <w:szCs w:val="22"/>
          <w:lang w:val="en-US"/>
        </w:rPr>
        <w:t>“SMCFPSA” LLP</w:t>
      </w:r>
      <w:r w:rsidRPr="00ED5536">
        <w:rPr>
          <w:sz w:val="22"/>
          <w:szCs w:val="22"/>
          <w:lang w:val="en-US"/>
        </w:rPr>
        <w:t xml:space="preserve">, </w:t>
      </w:r>
      <w:r>
        <w:rPr>
          <w:sz w:val="22"/>
          <w:szCs w:val="22"/>
          <w:lang w:val="en-US"/>
        </w:rPr>
        <w:t>there was concluded the agreement between t</w:t>
      </w:r>
      <w:r w:rsidRPr="00ED5536">
        <w:rPr>
          <w:sz w:val="22"/>
          <w:szCs w:val="22"/>
          <w:lang w:val="en-US"/>
        </w:rPr>
        <w:t xml:space="preserve">he Company, </w:t>
      </w:r>
      <w:proofErr w:type="spellStart"/>
      <w:r w:rsidRPr="00ED5536">
        <w:rPr>
          <w:sz w:val="22"/>
          <w:szCs w:val="22"/>
          <w:lang w:val="en-US"/>
        </w:rPr>
        <w:t>Agip</w:t>
      </w:r>
      <w:proofErr w:type="spellEnd"/>
      <w:r w:rsidRPr="00ED5536">
        <w:rPr>
          <w:sz w:val="22"/>
          <w:szCs w:val="22"/>
          <w:lang w:val="en-US"/>
        </w:rPr>
        <w:t xml:space="preserve"> Karachaganak BV, BG Karachaganak Limited, Chevron International Petroleum Company, </w:t>
      </w:r>
      <w:proofErr w:type="spellStart"/>
      <w:r w:rsidRPr="00ED5536">
        <w:rPr>
          <w:sz w:val="22"/>
          <w:szCs w:val="22"/>
          <w:lang w:val="en-US"/>
        </w:rPr>
        <w:t>Lu</w:t>
      </w:r>
      <w:r>
        <w:rPr>
          <w:sz w:val="22"/>
          <w:szCs w:val="22"/>
          <w:lang w:val="en-US"/>
        </w:rPr>
        <w:t>koil</w:t>
      </w:r>
      <w:proofErr w:type="spellEnd"/>
      <w:r>
        <w:rPr>
          <w:sz w:val="22"/>
          <w:szCs w:val="22"/>
          <w:lang w:val="en-US"/>
        </w:rPr>
        <w:t xml:space="preserve"> Overseas Karachaganak BV (h</w:t>
      </w:r>
      <w:r w:rsidRPr="00ED5536">
        <w:rPr>
          <w:sz w:val="22"/>
          <w:szCs w:val="22"/>
          <w:lang w:val="en-US"/>
        </w:rPr>
        <w:t xml:space="preserve">ereinafter - the Consortium) and </w:t>
      </w:r>
      <w:r>
        <w:rPr>
          <w:sz w:val="22"/>
          <w:szCs w:val="22"/>
          <w:lang w:val="en-US"/>
        </w:rPr>
        <w:t>“SMCFPSA” LLP,</w:t>
      </w:r>
      <w:r w:rsidRPr="00ED5536">
        <w:rPr>
          <w:sz w:val="22"/>
          <w:szCs w:val="22"/>
          <w:lang w:val="en-US"/>
        </w:rPr>
        <w:t xml:space="preserve"> amounting to </w:t>
      </w:r>
      <w:r>
        <w:rPr>
          <w:sz w:val="22"/>
          <w:szCs w:val="22"/>
          <w:lang w:val="en-US"/>
        </w:rPr>
        <w:t>USD</w:t>
      </w:r>
      <w:r w:rsidRPr="00ED5536">
        <w:rPr>
          <w:sz w:val="22"/>
          <w:szCs w:val="22"/>
          <w:lang w:val="en-US"/>
        </w:rPr>
        <w:t xml:space="preserve"> 1 billion, with an annual interest rate of LIBOR multiplied by 1.25, the repayment of which is made in equal monthly installments over three years due to the receipt of funds from the Karachaganak project. Under this agreement, the Group has undertaken to provide security </w:t>
      </w:r>
      <w:r>
        <w:rPr>
          <w:sz w:val="22"/>
          <w:szCs w:val="22"/>
          <w:lang w:val="en-US"/>
        </w:rPr>
        <w:t>by way of</w:t>
      </w:r>
      <w:r w:rsidRPr="00ED5536">
        <w:rPr>
          <w:sz w:val="22"/>
          <w:szCs w:val="22"/>
          <w:lang w:val="en-US"/>
        </w:rPr>
        <w:t xml:space="preserve"> the </w:t>
      </w:r>
      <w:r>
        <w:rPr>
          <w:sz w:val="22"/>
          <w:szCs w:val="22"/>
          <w:lang w:val="en-US"/>
        </w:rPr>
        <w:t>pledge of</w:t>
      </w:r>
      <w:r w:rsidRPr="00ED5536">
        <w:rPr>
          <w:sz w:val="22"/>
          <w:szCs w:val="22"/>
          <w:lang w:val="en-US"/>
        </w:rPr>
        <w:t xml:space="preserve"> a 5% stake in the project for the benefit of the Consortium. The Fund also gave a guarantee on the loan. As of June 30, 2012 the amount of debt of the Group </w:t>
      </w:r>
      <w:r>
        <w:rPr>
          <w:sz w:val="22"/>
          <w:szCs w:val="22"/>
          <w:lang w:val="en-US"/>
        </w:rPr>
        <w:t>against</w:t>
      </w:r>
      <w:r w:rsidRPr="00ED5536">
        <w:rPr>
          <w:sz w:val="22"/>
          <w:szCs w:val="22"/>
          <w:lang w:val="en-US"/>
        </w:rPr>
        <w:t xml:space="preserve"> four companies</w:t>
      </w:r>
      <w:r>
        <w:rPr>
          <w:sz w:val="22"/>
          <w:szCs w:val="22"/>
          <w:lang w:val="en-US"/>
        </w:rPr>
        <w:t>-</w:t>
      </w:r>
      <w:r w:rsidRPr="00ED5536">
        <w:rPr>
          <w:sz w:val="22"/>
          <w:szCs w:val="22"/>
          <w:lang w:val="en-US"/>
        </w:rPr>
        <w:t>lender</w:t>
      </w:r>
      <w:r>
        <w:rPr>
          <w:sz w:val="22"/>
          <w:szCs w:val="22"/>
          <w:lang w:val="en-US"/>
        </w:rPr>
        <w:t>s</w:t>
      </w:r>
      <w:r w:rsidRPr="00ED5536">
        <w:rPr>
          <w:sz w:val="22"/>
          <w:szCs w:val="22"/>
          <w:lang w:val="en-US"/>
        </w:rPr>
        <w:t xml:space="preserve"> </w:t>
      </w:r>
      <w:r>
        <w:rPr>
          <w:sz w:val="22"/>
          <w:szCs w:val="22"/>
          <w:lang w:val="en-US"/>
        </w:rPr>
        <w:t>amounted to KZT</w:t>
      </w:r>
      <w:r w:rsidRPr="00ED5536">
        <w:rPr>
          <w:sz w:val="22"/>
          <w:szCs w:val="22"/>
          <w:lang w:val="en-US"/>
        </w:rPr>
        <w:t xml:space="preserve"> 149 billion.</w:t>
      </w:r>
    </w:p>
    <w:p w:rsidR="00614ABF" w:rsidRPr="005031B3" w:rsidRDefault="00614ABF" w:rsidP="00614ABF">
      <w:pPr>
        <w:ind w:left="-567" w:firstLine="567"/>
        <w:jc w:val="both"/>
        <w:rPr>
          <w:sz w:val="22"/>
          <w:szCs w:val="22"/>
          <w:lang w:val="en-US"/>
        </w:rPr>
      </w:pPr>
      <w:r w:rsidRPr="00ED5536">
        <w:rPr>
          <w:sz w:val="22"/>
          <w:szCs w:val="22"/>
          <w:lang w:val="en-US"/>
        </w:rPr>
        <w:t xml:space="preserve">Additionally, under the credit line of the State Development Bank of China in the first half of 2012, the Fund received a tranche of </w:t>
      </w:r>
      <w:r>
        <w:rPr>
          <w:sz w:val="22"/>
          <w:szCs w:val="22"/>
          <w:lang w:val="en-US"/>
        </w:rPr>
        <w:t>USD</w:t>
      </w:r>
      <w:r w:rsidRPr="00ED5536">
        <w:rPr>
          <w:sz w:val="22"/>
          <w:szCs w:val="22"/>
          <w:lang w:val="en-US"/>
        </w:rPr>
        <w:t xml:space="preserve"> 400 million (equivalent to </w:t>
      </w:r>
      <w:r>
        <w:rPr>
          <w:sz w:val="22"/>
          <w:szCs w:val="22"/>
          <w:lang w:val="en-US"/>
        </w:rPr>
        <w:t xml:space="preserve">KZT </w:t>
      </w:r>
      <w:r w:rsidRPr="00ED5536">
        <w:rPr>
          <w:sz w:val="22"/>
          <w:szCs w:val="22"/>
          <w:lang w:val="en-US"/>
        </w:rPr>
        <w:t xml:space="preserve">59.7 billion </w:t>
      </w:r>
      <w:r>
        <w:rPr>
          <w:sz w:val="22"/>
          <w:szCs w:val="22"/>
          <w:lang w:val="en-US"/>
        </w:rPr>
        <w:t>at the exchange rate as of</w:t>
      </w:r>
      <w:r w:rsidRPr="00ED5536">
        <w:rPr>
          <w:sz w:val="22"/>
          <w:szCs w:val="22"/>
          <w:lang w:val="en-US"/>
        </w:rPr>
        <w:t xml:space="preserve"> 30 June 2012). These tranches are designed to provide a loan </w:t>
      </w:r>
      <w:r>
        <w:rPr>
          <w:sz w:val="22"/>
          <w:szCs w:val="22"/>
          <w:lang w:val="en-US"/>
        </w:rPr>
        <w:t xml:space="preserve">to </w:t>
      </w:r>
      <w:r w:rsidRPr="00ED5536">
        <w:rPr>
          <w:sz w:val="22"/>
          <w:szCs w:val="22"/>
          <w:lang w:val="en-US"/>
        </w:rPr>
        <w:t>Kazakhmys Finance PLC</w:t>
      </w:r>
      <w:r w:rsidRPr="005031B3">
        <w:rPr>
          <w:sz w:val="22"/>
          <w:szCs w:val="22"/>
          <w:lang w:val="en-US"/>
        </w:rPr>
        <w:t>.</w:t>
      </w:r>
    </w:p>
    <w:tbl>
      <w:tblPr>
        <w:tblW w:w="0" w:type="auto"/>
        <w:tblInd w:w="-528" w:type="dxa"/>
        <w:tblLook w:val="00A0" w:firstRow="1" w:lastRow="0" w:firstColumn="1" w:lastColumn="0" w:noHBand="0" w:noVBand="0"/>
      </w:tblPr>
      <w:tblGrid>
        <w:gridCol w:w="5777"/>
        <w:gridCol w:w="1276"/>
        <w:gridCol w:w="1276"/>
        <w:gridCol w:w="1241"/>
      </w:tblGrid>
      <w:tr w:rsidR="00614ABF" w:rsidRPr="00B5391C" w:rsidTr="0074637B">
        <w:trPr>
          <w:trHeight w:val="347"/>
        </w:trPr>
        <w:tc>
          <w:tcPr>
            <w:tcW w:w="9570" w:type="dxa"/>
            <w:gridSpan w:val="4"/>
            <w:vAlign w:val="center"/>
          </w:tcPr>
          <w:p w:rsidR="00614ABF" w:rsidRPr="00E907B5" w:rsidRDefault="00614ABF" w:rsidP="0074637B">
            <w:pPr>
              <w:ind w:left="-567" w:firstLine="567"/>
              <w:rPr>
                <w:b/>
                <w:sz w:val="18"/>
                <w:szCs w:val="18"/>
                <w:lang w:val="en-US"/>
              </w:rPr>
            </w:pPr>
          </w:p>
        </w:tc>
      </w:tr>
      <w:tr w:rsidR="00614ABF" w:rsidRPr="00E907B5" w:rsidTr="0074637B">
        <w:tc>
          <w:tcPr>
            <w:tcW w:w="5777" w:type="dxa"/>
            <w:tcBorders>
              <w:bottom w:val="single" w:sz="4" w:space="0" w:color="auto"/>
            </w:tcBorders>
            <w:vAlign w:val="center"/>
          </w:tcPr>
          <w:p w:rsidR="00614ABF" w:rsidRPr="00E907B5" w:rsidRDefault="00614ABF" w:rsidP="0074637B">
            <w:pPr>
              <w:ind w:left="-567" w:firstLine="567"/>
              <w:rPr>
                <w:i/>
                <w:sz w:val="18"/>
                <w:szCs w:val="18"/>
                <w:lang w:val="en-US"/>
              </w:rPr>
            </w:pPr>
            <w:r w:rsidRPr="00E907B5">
              <w:rPr>
                <w:i/>
                <w:sz w:val="18"/>
                <w:szCs w:val="18"/>
                <w:lang w:val="en-US"/>
              </w:rPr>
              <w:t xml:space="preserve">In </w:t>
            </w:r>
            <w:r>
              <w:rPr>
                <w:i/>
                <w:sz w:val="18"/>
                <w:szCs w:val="18"/>
                <w:lang w:val="en-US"/>
              </w:rPr>
              <w:t>billion</w:t>
            </w:r>
            <w:r w:rsidRPr="00E907B5">
              <w:rPr>
                <w:i/>
                <w:sz w:val="18"/>
                <w:szCs w:val="18"/>
                <w:lang w:val="en-US"/>
              </w:rPr>
              <w:t xml:space="preserve"> KZT</w:t>
            </w: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rPr>
            </w:pPr>
          </w:p>
        </w:tc>
        <w:tc>
          <w:tcPr>
            <w:tcW w:w="1276" w:type="dxa"/>
            <w:tcBorders>
              <w:bottom w:val="single" w:sz="4" w:space="0" w:color="auto"/>
            </w:tcBorders>
            <w:vAlign w:val="center"/>
          </w:tcPr>
          <w:p w:rsidR="00614ABF" w:rsidRPr="00235BB0" w:rsidRDefault="00614ABF" w:rsidP="0074637B">
            <w:pPr>
              <w:ind w:left="-567" w:firstLine="567"/>
              <w:jc w:val="center"/>
              <w:rPr>
                <w:b/>
                <w:sz w:val="18"/>
                <w:szCs w:val="18"/>
                <w:lang w:val="en-US"/>
              </w:rPr>
            </w:pPr>
            <w:r>
              <w:rPr>
                <w:b/>
                <w:sz w:val="18"/>
                <w:szCs w:val="18"/>
                <w:lang w:val="en-US"/>
              </w:rPr>
              <w:t>H1 2012</w:t>
            </w:r>
          </w:p>
        </w:tc>
        <w:tc>
          <w:tcPr>
            <w:tcW w:w="1241" w:type="dxa"/>
            <w:tcBorders>
              <w:bottom w:val="single" w:sz="4" w:space="0" w:color="auto"/>
            </w:tcBorders>
            <w:vAlign w:val="center"/>
          </w:tcPr>
          <w:p w:rsidR="00614ABF" w:rsidRPr="00235BB0" w:rsidRDefault="00614ABF" w:rsidP="0074637B">
            <w:pPr>
              <w:ind w:left="-567" w:firstLine="567"/>
              <w:jc w:val="center"/>
              <w:rPr>
                <w:b/>
                <w:sz w:val="18"/>
                <w:szCs w:val="18"/>
                <w:lang w:val="en-US"/>
              </w:rPr>
            </w:pPr>
            <w:r>
              <w:rPr>
                <w:b/>
                <w:sz w:val="18"/>
                <w:szCs w:val="18"/>
                <w:lang w:val="en-US"/>
              </w:rPr>
              <w:t>2011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Loans</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5 098</w:t>
            </w:r>
          </w:p>
        </w:tc>
        <w:tc>
          <w:tcPr>
            <w:tcW w:w="1241" w:type="dxa"/>
            <w:vAlign w:val="center"/>
          </w:tcPr>
          <w:p w:rsidR="00614ABF" w:rsidRDefault="00614ABF" w:rsidP="0074637B">
            <w:pPr>
              <w:jc w:val="center"/>
              <w:rPr>
                <w:color w:val="000000"/>
                <w:sz w:val="18"/>
                <w:szCs w:val="18"/>
              </w:rPr>
            </w:pPr>
            <w:r>
              <w:rPr>
                <w:color w:val="000000"/>
                <w:sz w:val="18"/>
                <w:szCs w:val="18"/>
              </w:rPr>
              <w:t>4 197</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Loans of the Government of RK</w:t>
            </w:r>
          </w:p>
        </w:tc>
        <w:tc>
          <w:tcPr>
            <w:tcW w:w="1276" w:type="dxa"/>
            <w:vAlign w:val="center"/>
          </w:tcPr>
          <w:p w:rsidR="00614ABF" w:rsidRPr="00E907B5"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965</w:t>
            </w:r>
          </w:p>
        </w:tc>
        <w:tc>
          <w:tcPr>
            <w:tcW w:w="1241" w:type="dxa"/>
            <w:vAlign w:val="center"/>
          </w:tcPr>
          <w:p w:rsidR="00614ABF" w:rsidRDefault="00614ABF" w:rsidP="0074637B">
            <w:pPr>
              <w:jc w:val="center"/>
              <w:rPr>
                <w:color w:val="000000"/>
                <w:sz w:val="18"/>
                <w:szCs w:val="18"/>
              </w:rPr>
            </w:pPr>
            <w:r>
              <w:rPr>
                <w:color w:val="000000"/>
                <w:sz w:val="18"/>
                <w:szCs w:val="18"/>
              </w:rPr>
              <w:t>870</w:t>
            </w:r>
          </w:p>
        </w:tc>
      </w:tr>
      <w:tr w:rsidR="00614ABF" w:rsidRPr="00E907B5" w:rsidTr="0074637B">
        <w:tc>
          <w:tcPr>
            <w:tcW w:w="5777" w:type="dxa"/>
            <w:vAlign w:val="center"/>
          </w:tcPr>
          <w:p w:rsidR="00614ABF" w:rsidRPr="00E907B5" w:rsidRDefault="00614ABF" w:rsidP="0074637B">
            <w:pPr>
              <w:rPr>
                <w:sz w:val="18"/>
                <w:szCs w:val="18"/>
                <w:lang w:val="en-US"/>
              </w:rPr>
            </w:pPr>
            <w:r w:rsidRPr="00E907B5">
              <w:rPr>
                <w:sz w:val="18"/>
                <w:szCs w:val="18"/>
                <w:lang w:val="en-US"/>
              </w:rPr>
              <w:t>Indebtedness for the purchase of participation share in the project</w:t>
            </w:r>
          </w:p>
        </w:tc>
        <w:tc>
          <w:tcPr>
            <w:tcW w:w="1276" w:type="dxa"/>
            <w:vAlign w:val="center"/>
          </w:tcPr>
          <w:p w:rsidR="00614ABF" w:rsidRPr="00E907B5"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330</w:t>
            </w:r>
          </w:p>
        </w:tc>
        <w:tc>
          <w:tcPr>
            <w:tcW w:w="1241" w:type="dxa"/>
            <w:vAlign w:val="center"/>
          </w:tcPr>
          <w:p w:rsidR="00614ABF" w:rsidRDefault="00614ABF" w:rsidP="0074637B">
            <w:pPr>
              <w:jc w:val="center"/>
              <w:rPr>
                <w:color w:val="000000"/>
                <w:sz w:val="18"/>
                <w:szCs w:val="18"/>
              </w:rPr>
            </w:pPr>
            <w:r>
              <w:rPr>
                <w:color w:val="000000"/>
                <w:sz w:val="18"/>
                <w:szCs w:val="18"/>
              </w:rPr>
              <w:t>321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 xml:space="preserve">Liability on the financial lease </w:t>
            </w:r>
          </w:p>
        </w:tc>
        <w:tc>
          <w:tcPr>
            <w:tcW w:w="1276" w:type="dxa"/>
            <w:vAlign w:val="center"/>
          </w:tcPr>
          <w:p w:rsidR="00614ABF" w:rsidRPr="00E907B5"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7</w:t>
            </w:r>
          </w:p>
        </w:tc>
        <w:tc>
          <w:tcPr>
            <w:tcW w:w="1241" w:type="dxa"/>
            <w:vAlign w:val="center"/>
          </w:tcPr>
          <w:p w:rsidR="00614ABF" w:rsidRDefault="00614ABF" w:rsidP="0074637B">
            <w:pPr>
              <w:jc w:val="center"/>
              <w:rPr>
                <w:color w:val="000000"/>
                <w:sz w:val="18"/>
                <w:szCs w:val="18"/>
              </w:rPr>
            </w:pPr>
            <w:r>
              <w:rPr>
                <w:color w:val="000000"/>
                <w:sz w:val="18"/>
                <w:szCs w:val="18"/>
              </w:rPr>
              <w:t>8</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Client’s funds</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699</w:t>
            </w:r>
          </w:p>
        </w:tc>
        <w:tc>
          <w:tcPr>
            <w:tcW w:w="1241" w:type="dxa"/>
            <w:vAlign w:val="center"/>
          </w:tcPr>
          <w:p w:rsidR="00614ABF" w:rsidRDefault="00614ABF" w:rsidP="0074637B">
            <w:pPr>
              <w:jc w:val="center"/>
              <w:rPr>
                <w:color w:val="000000"/>
                <w:sz w:val="18"/>
                <w:szCs w:val="18"/>
              </w:rPr>
            </w:pPr>
            <w:r>
              <w:rPr>
                <w:color w:val="000000"/>
                <w:sz w:val="18"/>
                <w:szCs w:val="18"/>
              </w:rPr>
              <w:t>737</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 xml:space="preserve">Derivatives </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10</w:t>
            </w:r>
          </w:p>
        </w:tc>
        <w:tc>
          <w:tcPr>
            <w:tcW w:w="1241" w:type="dxa"/>
            <w:vAlign w:val="center"/>
          </w:tcPr>
          <w:p w:rsidR="00614ABF" w:rsidRDefault="00614ABF" w:rsidP="0074637B">
            <w:pPr>
              <w:jc w:val="center"/>
              <w:rPr>
                <w:color w:val="000000"/>
                <w:sz w:val="18"/>
                <w:szCs w:val="18"/>
              </w:rPr>
            </w:pPr>
            <w:r>
              <w:rPr>
                <w:color w:val="000000"/>
                <w:sz w:val="18"/>
                <w:szCs w:val="18"/>
              </w:rPr>
              <w:t>14</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Other</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48</w:t>
            </w:r>
          </w:p>
        </w:tc>
        <w:tc>
          <w:tcPr>
            <w:tcW w:w="1241" w:type="dxa"/>
            <w:vAlign w:val="center"/>
          </w:tcPr>
          <w:p w:rsidR="00614ABF" w:rsidRDefault="00614ABF" w:rsidP="0074637B">
            <w:pPr>
              <w:jc w:val="center"/>
              <w:rPr>
                <w:color w:val="000000"/>
                <w:sz w:val="18"/>
                <w:szCs w:val="18"/>
              </w:rPr>
            </w:pPr>
            <w:r>
              <w:rPr>
                <w:color w:val="000000"/>
                <w:sz w:val="18"/>
                <w:szCs w:val="18"/>
              </w:rPr>
              <w:t>42</w:t>
            </w:r>
          </w:p>
        </w:tc>
      </w:tr>
      <w:tr w:rsidR="00614ABF" w:rsidRPr="00E907B5" w:rsidTr="0074637B">
        <w:tc>
          <w:tcPr>
            <w:tcW w:w="5777" w:type="dxa"/>
            <w:tcBorders>
              <w:top w:val="single" w:sz="4" w:space="0" w:color="auto"/>
              <w:bottom w:val="single" w:sz="4" w:space="0" w:color="auto"/>
            </w:tcBorders>
            <w:vAlign w:val="center"/>
          </w:tcPr>
          <w:p w:rsidR="00614ABF" w:rsidRPr="00E907B5" w:rsidRDefault="00614ABF" w:rsidP="0074637B">
            <w:pPr>
              <w:ind w:left="-567" w:firstLine="567"/>
              <w:rPr>
                <w:b/>
                <w:sz w:val="18"/>
                <w:szCs w:val="18"/>
                <w:lang w:val="en-US"/>
              </w:rPr>
            </w:pPr>
            <w:r w:rsidRPr="00E907B5">
              <w:rPr>
                <w:b/>
                <w:sz w:val="18"/>
                <w:szCs w:val="18"/>
                <w:lang w:val="en-US"/>
              </w:rPr>
              <w:t>Debt total</w:t>
            </w:r>
          </w:p>
        </w:tc>
        <w:tc>
          <w:tcPr>
            <w:tcW w:w="1276" w:type="dxa"/>
            <w:tcBorders>
              <w:top w:val="single" w:sz="4" w:space="0" w:color="auto"/>
              <w:bottom w:val="single" w:sz="4" w:space="0" w:color="auto"/>
            </w:tcBorders>
            <w:vAlign w:val="center"/>
          </w:tcPr>
          <w:p w:rsidR="00614ABF" w:rsidRPr="00E907B5" w:rsidRDefault="00614ABF" w:rsidP="0074637B">
            <w:pPr>
              <w:ind w:left="-567" w:firstLine="567"/>
              <w:jc w:val="center"/>
              <w:rPr>
                <w:b/>
                <w:sz w:val="18"/>
                <w:szCs w:val="18"/>
              </w:rPr>
            </w:pPr>
          </w:p>
        </w:tc>
        <w:tc>
          <w:tcPr>
            <w:tcW w:w="1276"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7 157</w:t>
            </w:r>
          </w:p>
        </w:tc>
        <w:tc>
          <w:tcPr>
            <w:tcW w:w="1241"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6 189</w:t>
            </w:r>
          </w:p>
        </w:tc>
      </w:tr>
      <w:tr w:rsidR="00614ABF" w:rsidRPr="00E907B5" w:rsidTr="0074637B">
        <w:tc>
          <w:tcPr>
            <w:tcW w:w="5777" w:type="dxa"/>
            <w:tcBorders>
              <w:top w:val="single" w:sz="4" w:space="0" w:color="auto"/>
              <w:bottom w:val="single" w:sz="4" w:space="0" w:color="auto"/>
            </w:tcBorders>
            <w:vAlign w:val="center"/>
          </w:tcPr>
          <w:p w:rsidR="00614ABF" w:rsidRPr="00E907B5" w:rsidRDefault="00614ABF" w:rsidP="0074637B">
            <w:pPr>
              <w:ind w:left="-567" w:firstLine="567"/>
              <w:rPr>
                <w:sz w:val="18"/>
                <w:szCs w:val="18"/>
                <w:lang w:val="en-US"/>
              </w:rPr>
            </w:pPr>
            <w:r w:rsidRPr="00E907B5">
              <w:rPr>
                <w:sz w:val="18"/>
                <w:szCs w:val="18"/>
                <w:lang w:val="en-US"/>
              </w:rPr>
              <w:t xml:space="preserve">Minus: cash and cash equivalents </w:t>
            </w:r>
          </w:p>
        </w:tc>
        <w:tc>
          <w:tcPr>
            <w:tcW w:w="1276" w:type="dxa"/>
            <w:tcBorders>
              <w:top w:val="single" w:sz="4" w:space="0" w:color="auto"/>
              <w:bottom w:val="single" w:sz="4" w:space="0" w:color="auto"/>
            </w:tcBorders>
            <w:vAlign w:val="center"/>
          </w:tcPr>
          <w:p w:rsidR="00614ABF" w:rsidRPr="00E907B5" w:rsidRDefault="00614ABF" w:rsidP="0074637B">
            <w:pPr>
              <w:ind w:left="-567" w:firstLine="567"/>
              <w:jc w:val="center"/>
              <w:rPr>
                <w:sz w:val="18"/>
                <w:szCs w:val="18"/>
                <w:lang w:val="en-US"/>
              </w:rPr>
            </w:pPr>
          </w:p>
        </w:tc>
        <w:tc>
          <w:tcPr>
            <w:tcW w:w="1276" w:type="dxa"/>
            <w:tcBorders>
              <w:top w:val="single" w:sz="4" w:space="0" w:color="auto"/>
              <w:bottom w:val="single" w:sz="4" w:space="0" w:color="auto"/>
            </w:tcBorders>
            <w:vAlign w:val="center"/>
          </w:tcPr>
          <w:p w:rsidR="00614ABF" w:rsidRDefault="00614ABF" w:rsidP="0074637B">
            <w:pPr>
              <w:jc w:val="center"/>
              <w:rPr>
                <w:color w:val="000000"/>
                <w:sz w:val="18"/>
                <w:szCs w:val="18"/>
              </w:rPr>
            </w:pPr>
            <w:r>
              <w:rPr>
                <w:color w:val="000000"/>
                <w:sz w:val="18"/>
                <w:szCs w:val="18"/>
              </w:rPr>
              <w:t>(1 604)</w:t>
            </w:r>
          </w:p>
        </w:tc>
        <w:tc>
          <w:tcPr>
            <w:tcW w:w="1241" w:type="dxa"/>
            <w:tcBorders>
              <w:top w:val="single" w:sz="4" w:space="0" w:color="auto"/>
              <w:bottom w:val="single" w:sz="4" w:space="0" w:color="auto"/>
            </w:tcBorders>
            <w:vAlign w:val="center"/>
          </w:tcPr>
          <w:p w:rsidR="00614ABF" w:rsidRDefault="00614ABF" w:rsidP="0074637B">
            <w:pPr>
              <w:jc w:val="center"/>
              <w:rPr>
                <w:color w:val="000000"/>
                <w:sz w:val="18"/>
                <w:szCs w:val="18"/>
              </w:rPr>
            </w:pPr>
            <w:r>
              <w:rPr>
                <w:color w:val="000000"/>
                <w:sz w:val="18"/>
                <w:szCs w:val="18"/>
              </w:rPr>
              <w:t>(1 647)</w:t>
            </w:r>
          </w:p>
        </w:tc>
      </w:tr>
      <w:tr w:rsidR="00614ABF" w:rsidRPr="00E907B5" w:rsidTr="0074637B">
        <w:tc>
          <w:tcPr>
            <w:tcW w:w="5777" w:type="dxa"/>
            <w:tcBorders>
              <w:top w:val="single" w:sz="4" w:space="0" w:color="auto"/>
              <w:bottom w:val="single" w:sz="4" w:space="0" w:color="auto"/>
            </w:tcBorders>
            <w:vAlign w:val="center"/>
          </w:tcPr>
          <w:p w:rsidR="00614ABF" w:rsidRPr="00E907B5" w:rsidRDefault="00614ABF" w:rsidP="0074637B">
            <w:pPr>
              <w:ind w:left="-567" w:firstLine="567"/>
              <w:rPr>
                <w:b/>
                <w:sz w:val="18"/>
                <w:szCs w:val="18"/>
                <w:lang w:val="en-US"/>
              </w:rPr>
            </w:pPr>
            <w:r w:rsidRPr="00E907B5">
              <w:rPr>
                <w:b/>
                <w:sz w:val="18"/>
                <w:szCs w:val="18"/>
                <w:lang w:val="en-US"/>
              </w:rPr>
              <w:t>Net debt total</w:t>
            </w:r>
          </w:p>
        </w:tc>
        <w:tc>
          <w:tcPr>
            <w:tcW w:w="1276" w:type="dxa"/>
            <w:tcBorders>
              <w:top w:val="single" w:sz="4" w:space="0" w:color="auto"/>
              <w:bottom w:val="single" w:sz="4" w:space="0" w:color="auto"/>
            </w:tcBorders>
            <w:vAlign w:val="center"/>
          </w:tcPr>
          <w:p w:rsidR="00614ABF" w:rsidRPr="00E907B5" w:rsidRDefault="00614ABF" w:rsidP="0074637B">
            <w:pPr>
              <w:ind w:left="-567" w:firstLine="567"/>
              <w:jc w:val="center"/>
              <w:rPr>
                <w:b/>
                <w:sz w:val="18"/>
                <w:szCs w:val="18"/>
              </w:rPr>
            </w:pPr>
          </w:p>
        </w:tc>
        <w:tc>
          <w:tcPr>
            <w:tcW w:w="1276"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5 553</w:t>
            </w:r>
          </w:p>
        </w:tc>
        <w:tc>
          <w:tcPr>
            <w:tcW w:w="1241"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4 542</w:t>
            </w:r>
          </w:p>
        </w:tc>
      </w:tr>
    </w:tbl>
    <w:p w:rsidR="00614ABF" w:rsidRPr="00251CFC" w:rsidRDefault="00614ABF" w:rsidP="00614ABF">
      <w:pPr>
        <w:ind w:left="-567" w:firstLine="567"/>
        <w:jc w:val="both"/>
        <w:rPr>
          <w:sz w:val="22"/>
          <w:szCs w:val="22"/>
        </w:rPr>
      </w:pPr>
    </w:p>
    <w:tbl>
      <w:tblPr>
        <w:tblW w:w="0" w:type="auto"/>
        <w:tblInd w:w="-528" w:type="dxa"/>
        <w:tblLook w:val="00A0" w:firstRow="1" w:lastRow="0" w:firstColumn="1" w:lastColumn="0" w:noHBand="0" w:noVBand="0"/>
      </w:tblPr>
      <w:tblGrid>
        <w:gridCol w:w="5777"/>
        <w:gridCol w:w="1276"/>
        <w:gridCol w:w="1276"/>
        <w:gridCol w:w="1241"/>
      </w:tblGrid>
      <w:tr w:rsidR="00614ABF" w:rsidRPr="00353DB4" w:rsidTr="0074637B">
        <w:tc>
          <w:tcPr>
            <w:tcW w:w="9570" w:type="dxa"/>
            <w:gridSpan w:val="4"/>
            <w:vAlign w:val="center"/>
          </w:tcPr>
          <w:p w:rsidR="00614ABF" w:rsidRPr="00C8008D" w:rsidRDefault="00614ABF" w:rsidP="0074637B">
            <w:pPr>
              <w:ind w:left="-567" w:firstLine="567"/>
              <w:rPr>
                <w:b/>
                <w:sz w:val="18"/>
                <w:szCs w:val="18"/>
                <w:lang w:val="en-US"/>
              </w:rPr>
            </w:pPr>
            <w:r w:rsidRPr="00C8008D">
              <w:rPr>
                <w:b/>
                <w:sz w:val="18"/>
                <w:szCs w:val="18"/>
                <w:lang w:val="en-US"/>
              </w:rPr>
              <w:t xml:space="preserve">Table 2 Analysis of dynamics of the Group’s consolidated debt in 2011 </w:t>
            </w:r>
          </w:p>
        </w:tc>
      </w:tr>
      <w:tr w:rsidR="00614ABF" w:rsidRPr="00C8008D" w:rsidTr="0074637B">
        <w:tc>
          <w:tcPr>
            <w:tcW w:w="5777" w:type="dxa"/>
            <w:tcBorders>
              <w:bottom w:val="single" w:sz="4" w:space="0" w:color="auto"/>
            </w:tcBorders>
            <w:vAlign w:val="center"/>
          </w:tcPr>
          <w:p w:rsidR="00614ABF" w:rsidRPr="00C8008D" w:rsidRDefault="00614ABF" w:rsidP="0074637B">
            <w:pPr>
              <w:ind w:left="-567" w:firstLine="567"/>
              <w:rPr>
                <w:i/>
                <w:sz w:val="18"/>
                <w:szCs w:val="18"/>
                <w:lang w:val="en-US"/>
              </w:rPr>
            </w:pPr>
            <w:r w:rsidRPr="00C8008D">
              <w:rPr>
                <w:i/>
                <w:sz w:val="18"/>
                <w:szCs w:val="18"/>
                <w:lang w:val="en-US"/>
              </w:rPr>
              <w:t>Change to the previous year</w:t>
            </w:r>
          </w:p>
        </w:tc>
        <w:tc>
          <w:tcPr>
            <w:tcW w:w="1276" w:type="dxa"/>
            <w:tcBorders>
              <w:bottom w:val="single" w:sz="4" w:space="0" w:color="auto"/>
            </w:tcBorders>
            <w:vAlign w:val="center"/>
          </w:tcPr>
          <w:p w:rsidR="00614ABF" w:rsidRPr="00C8008D" w:rsidRDefault="00614ABF" w:rsidP="0074637B">
            <w:pPr>
              <w:ind w:left="-567" w:firstLine="567"/>
              <w:jc w:val="center"/>
              <w:rPr>
                <w:b/>
                <w:sz w:val="18"/>
                <w:szCs w:val="18"/>
                <w:lang w:val="en-US"/>
              </w:rPr>
            </w:pPr>
          </w:p>
        </w:tc>
        <w:tc>
          <w:tcPr>
            <w:tcW w:w="1276" w:type="dxa"/>
            <w:tcBorders>
              <w:bottom w:val="single" w:sz="4" w:space="0" w:color="auto"/>
            </w:tcBorders>
            <w:vAlign w:val="center"/>
          </w:tcPr>
          <w:p w:rsidR="00614ABF" w:rsidRPr="00C8008D" w:rsidRDefault="00614ABF" w:rsidP="0074637B">
            <w:pPr>
              <w:ind w:left="-567" w:firstLine="567"/>
              <w:jc w:val="center"/>
              <w:rPr>
                <w:b/>
                <w:sz w:val="18"/>
                <w:szCs w:val="18"/>
                <w:lang w:val="en-US"/>
              </w:rPr>
            </w:pPr>
            <w:r>
              <w:rPr>
                <w:b/>
                <w:sz w:val="18"/>
                <w:szCs w:val="18"/>
                <w:lang w:val="en-US"/>
              </w:rPr>
              <w:t>Billion</w:t>
            </w:r>
            <w:r w:rsidRPr="00C8008D">
              <w:rPr>
                <w:b/>
                <w:sz w:val="18"/>
                <w:szCs w:val="18"/>
                <w:lang w:val="en-US"/>
              </w:rPr>
              <w:t xml:space="preserve"> KZT</w:t>
            </w:r>
          </w:p>
        </w:tc>
        <w:tc>
          <w:tcPr>
            <w:tcW w:w="1241" w:type="dxa"/>
            <w:tcBorders>
              <w:bottom w:val="single" w:sz="4" w:space="0" w:color="auto"/>
            </w:tcBorders>
            <w:vAlign w:val="center"/>
          </w:tcPr>
          <w:p w:rsidR="00614ABF" w:rsidRPr="00C8008D" w:rsidRDefault="00614ABF" w:rsidP="0074637B">
            <w:pPr>
              <w:ind w:left="-567" w:firstLine="567"/>
              <w:jc w:val="center"/>
              <w:rPr>
                <w:b/>
                <w:sz w:val="18"/>
                <w:szCs w:val="18"/>
              </w:rPr>
            </w:pPr>
            <w:r w:rsidRPr="00C8008D">
              <w:rPr>
                <w:b/>
                <w:sz w:val="18"/>
                <w:szCs w:val="18"/>
              </w:rPr>
              <w:t>%</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Loans</w:t>
            </w:r>
          </w:p>
        </w:tc>
        <w:tc>
          <w:tcPr>
            <w:tcW w:w="1276" w:type="dxa"/>
            <w:vAlign w:val="center"/>
          </w:tcPr>
          <w:p w:rsidR="00614ABF" w:rsidRPr="00C8008D"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+901</w:t>
            </w:r>
          </w:p>
        </w:tc>
        <w:tc>
          <w:tcPr>
            <w:tcW w:w="1241" w:type="dxa"/>
            <w:vAlign w:val="center"/>
          </w:tcPr>
          <w:p w:rsidR="00614ABF" w:rsidRDefault="00614ABF" w:rsidP="0074637B">
            <w:pPr>
              <w:jc w:val="center"/>
              <w:rPr>
                <w:color w:val="000000"/>
                <w:sz w:val="18"/>
                <w:szCs w:val="18"/>
              </w:rPr>
            </w:pPr>
            <w:r>
              <w:rPr>
                <w:color w:val="000000"/>
                <w:sz w:val="18"/>
                <w:szCs w:val="18"/>
              </w:rPr>
              <w:t>21%</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Loans of the Government of RK</w:t>
            </w:r>
          </w:p>
        </w:tc>
        <w:tc>
          <w:tcPr>
            <w:tcW w:w="1276" w:type="dxa"/>
            <w:vAlign w:val="center"/>
          </w:tcPr>
          <w:p w:rsidR="00614ABF" w:rsidRPr="00C8008D"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+95</w:t>
            </w:r>
          </w:p>
        </w:tc>
        <w:tc>
          <w:tcPr>
            <w:tcW w:w="1241" w:type="dxa"/>
            <w:vAlign w:val="center"/>
          </w:tcPr>
          <w:p w:rsidR="00614ABF" w:rsidRDefault="00614ABF" w:rsidP="0074637B">
            <w:pPr>
              <w:jc w:val="center"/>
              <w:rPr>
                <w:color w:val="000000"/>
                <w:sz w:val="18"/>
                <w:szCs w:val="18"/>
              </w:rPr>
            </w:pPr>
            <w:r>
              <w:rPr>
                <w:color w:val="000000"/>
                <w:sz w:val="18"/>
                <w:szCs w:val="18"/>
              </w:rPr>
              <w:t>11%</w:t>
            </w:r>
          </w:p>
        </w:tc>
      </w:tr>
      <w:tr w:rsidR="00614ABF" w:rsidRPr="00C8008D" w:rsidTr="0074637B">
        <w:tc>
          <w:tcPr>
            <w:tcW w:w="5777" w:type="dxa"/>
            <w:vAlign w:val="center"/>
          </w:tcPr>
          <w:p w:rsidR="00614ABF" w:rsidRPr="00C8008D" w:rsidRDefault="00614ABF" w:rsidP="0074637B">
            <w:pPr>
              <w:rPr>
                <w:sz w:val="18"/>
                <w:szCs w:val="18"/>
                <w:lang w:val="en-US"/>
              </w:rPr>
            </w:pPr>
            <w:r w:rsidRPr="00C8008D">
              <w:rPr>
                <w:sz w:val="18"/>
                <w:szCs w:val="18"/>
                <w:lang w:val="en-US"/>
              </w:rPr>
              <w:t>Indebtedness for the purchase of participation share in the project</w:t>
            </w:r>
          </w:p>
        </w:tc>
        <w:tc>
          <w:tcPr>
            <w:tcW w:w="1276" w:type="dxa"/>
            <w:vAlign w:val="center"/>
          </w:tcPr>
          <w:p w:rsidR="00614ABF" w:rsidRPr="00C8008D"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+9</w:t>
            </w:r>
          </w:p>
        </w:tc>
        <w:tc>
          <w:tcPr>
            <w:tcW w:w="1241" w:type="dxa"/>
            <w:vAlign w:val="center"/>
          </w:tcPr>
          <w:p w:rsidR="00614ABF" w:rsidRDefault="00614ABF" w:rsidP="0074637B">
            <w:pPr>
              <w:jc w:val="center"/>
              <w:rPr>
                <w:color w:val="000000"/>
                <w:sz w:val="18"/>
                <w:szCs w:val="18"/>
              </w:rPr>
            </w:pPr>
            <w:r>
              <w:rPr>
                <w:color w:val="000000"/>
                <w:sz w:val="18"/>
                <w:szCs w:val="18"/>
              </w:rPr>
              <w:t>3%</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 xml:space="preserve">Liability on the financial lease </w:t>
            </w:r>
          </w:p>
        </w:tc>
        <w:tc>
          <w:tcPr>
            <w:tcW w:w="1276" w:type="dxa"/>
            <w:vAlign w:val="center"/>
          </w:tcPr>
          <w:p w:rsidR="00614ABF" w:rsidRPr="00C8008D"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-1</w:t>
            </w:r>
          </w:p>
        </w:tc>
        <w:tc>
          <w:tcPr>
            <w:tcW w:w="1241" w:type="dxa"/>
            <w:vAlign w:val="center"/>
          </w:tcPr>
          <w:p w:rsidR="00614ABF" w:rsidRDefault="00614ABF" w:rsidP="0074637B">
            <w:pPr>
              <w:jc w:val="center"/>
              <w:rPr>
                <w:color w:val="000000"/>
                <w:sz w:val="18"/>
                <w:szCs w:val="18"/>
              </w:rPr>
            </w:pPr>
            <w:r>
              <w:rPr>
                <w:color w:val="000000"/>
                <w:sz w:val="18"/>
                <w:szCs w:val="18"/>
              </w:rPr>
              <w:t>-17%</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Client’s funds</w:t>
            </w:r>
          </w:p>
        </w:tc>
        <w:tc>
          <w:tcPr>
            <w:tcW w:w="1276" w:type="dxa"/>
            <w:vAlign w:val="center"/>
          </w:tcPr>
          <w:p w:rsidR="00614ABF" w:rsidRPr="00C8008D"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-37</w:t>
            </w:r>
          </w:p>
        </w:tc>
        <w:tc>
          <w:tcPr>
            <w:tcW w:w="1241" w:type="dxa"/>
            <w:vAlign w:val="center"/>
          </w:tcPr>
          <w:p w:rsidR="00614ABF" w:rsidRDefault="00614ABF" w:rsidP="0074637B">
            <w:pPr>
              <w:jc w:val="center"/>
              <w:rPr>
                <w:color w:val="000000"/>
                <w:sz w:val="18"/>
                <w:szCs w:val="18"/>
              </w:rPr>
            </w:pPr>
            <w:r>
              <w:rPr>
                <w:color w:val="000000"/>
                <w:sz w:val="18"/>
                <w:szCs w:val="18"/>
              </w:rPr>
              <w:t>-5%</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 xml:space="preserve">Derivatives </w:t>
            </w:r>
          </w:p>
        </w:tc>
        <w:tc>
          <w:tcPr>
            <w:tcW w:w="1276" w:type="dxa"/>
            <w:vAlign w:val="center"/>
          </w:tcPr>
          <w:p w:rsidR="00614ABF" w:rsidRPr="00C8008D"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-4</w:t>
            </w:r>
          </w:p>
        </w:tc>
        <w:tc>
          <w:tcPr>
            <w:tcW w:w="1241" w:type="dxa"/>
            <w:vAlign w:val="center"/>
          </w:tcPr>
          <w:p w:rsidR="00614ABF" w:rsidRDefault="00614ABF" w:rsidP="0074637B">
            <w:pPr>
              <w:jc w:val="center"/>
              <w:rPr>
                <w:color w:val="000000"/>
                <w:sz w:val="18"/>
                <w:szCs w:val="18"/>
              </w:rPr>
            </w:pPr>
            <w:r>
              <w:rPr>
                <w:color w:val="000000"/>
                <w:sz w:val="18"/>
                <w:szCs w:val="18"/>
              </w:rPr>
              <w:t>-27%</w:t>
            </w:r>
          </w:p>
        </w:tc>
      </w:tr>
      <w:tr w:rsidR="00614ABF" w:rsidRPr="00C8008D" w:rsidTr="0074637B">
        <w:tc>
          <w:tcPr>
            <w:tcW w:w="5777" w:type="dxa"/>
            <w:vAlign w:val="center"/>
          </w:tcPr>
          <w:p w:rsidR="00614ABF" w:rsidRPr="00C8008D" w:rsidRDefault="00614ABF" w:rsidP="0074637B">
            <w:pPr>
              <w:ind w:left="-567" w:firstLine="567"/>
              <w:rPr>
                <w:sz w:val="18"/>
                <w:szCs w:val="18"/>
                <w:lang w:val="en-US"/>
              </w:rPr>
            </w:pPr>
            <w:r w:rsidRPr="00C8008D">
              <w:rPr>
                <w:sz w:val="18"/>
                <w:szCs w:val="18"/>
                <w:lang w:val="en-US"/>
              </w:rPr>
              <w:t>Other</w:t>
            </w:r>
          </w:p>
        </w:tc>
        <w:tc>
          <w:tcPr>
            <w:tcW w:w="1276" w:type="dxa"/>
            <w:vAlign w:val="center"/>
          </w:tcPr>
          <w:p w:rsidR="00614ABF" w:rsidRPr="00C8008D"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+6</w:t>
            </w:r>
          </w:p>
        </w:tc>
        <w:tc>
          <w:tcPr>
            <w:tcW w:w="1241" w:type="dxa"/>
            <w:vAlign w:val="center"/>
          </w:tcPr>
          <w:p w:rsidR="00614ABF" w:rsidRDefault="00614ABF" w:rsidP="0074637B">
            <w:pPr>
              <w:jc w:val="center"/>
              <w:rPr>
                <w:color w:val="000000"/>
                <w:sz w:val="18"/>
                <w:szCs w:val="18"/>
              </w:rPr>
            </w:pPr>
            <w:r>
              <w:rPr>
                <w:color w:val="000000"/>
                <w:sz w:val="18"/>
                <w:szCs w:val="18"/>
              </w:rPr>
              <w:t>14%</w:t>
            </w:r>
          </w:p>
        </w:tc>
      </w:tr>
      <w:tr w:rsidR="00614ABF" w:rsidRPr="00C8008D" w:rsidTr="0074637B">
        <w:tc>
          <w:tcPr>
            <w:tcW w:w="5777" w:type="dxa"/>
            <w:tcBorders>
              <w:top w:val="single" w:sz="4" w:space="0" w:color="auto"/>
              <w:bottom w:val="single" w:sz="4" w:space="0" w:color="auto"/>
            </w:tcBorders>
            <w:vAlign w:val="center"/>
          </w:tcPr>
          <w:p w:rsidR="00614ABF" w:rsidRPr="00C8008D" w:rsidRDefault="00614ABF" w:rsidP="0074637B">
            <w:pPr>
              <w:ind w:left="-567" w:firstLine="567"/>
              <w:rPr>
                <w:b/>
                <w:sz w:val="18"/>
                <w:szCs w:val="18"/>
                <w:lang w:val="en-US"/>
              </w:rPr>
            </w:pPr>
            <w:r w:rsidRPr="00C8008D">
              <w:rPr>
                <w:b/>
                <w:sz w:val="18"/>
                <w:szCs w:val="18"/>
                <w:lang w:val="en-US"/>
              </w:rPr>
              <w:t>Debt total</w:t>
            </w:r>
          </w:p>
        </w:tc>
        <w:tc>
          <w:tcPr>
            <w:tcW w:w="1276" w:type="dxa"/>
            <w:tcBorders>
              <w:top w:val="single" w:sz="4" w:space="0" w:color="auto"/>
              <w:bottom w:val="single" w:sz="4" w:space="0" w:color="auto"/>
            </w:tcBorders>
            <w:vAlign w:val="center"/>
          </w:tcPr>
          <w:p w:rsidR="00614ABF" w:rsidRPr="00C8008D" w:rsidRDefault="00614ABF" w:rsidP="0074637B">
            <w:pPr>
              <w:ind w:left="-567" w:firstLine="567"/>
              <w:jc w:val="center"/>
              <w:rPr>
                <w:b/>
                <w:sz w:val="18"/>
                <w:szCs w:val="18"/>
              </w:rPr>
            </w:pPr>
          </w:p>
        </w:tc>
        <w:tc>
          <w:tcPr>
            <w:tcW w:w="1276"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+969</w:t>
            </w:r>
          </w:p>
        </w:tc>
        <w:tc>
          <w:tcPr>
            <w:tcW w:w="1241"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+16%</w:t>
            </w:r>
          </w:p>
        </w:tc>
      </w:tr>
      <w:tr w:rsidR="00614ABF" w:rsidRPr="00C8008D" w:rsidTr="0074637B">
        <w:tc>
          <w:tcPr>
            <w:tcW w:w="5777" w:type="dxa"/>
            <w:tcBorders>
              <w:top w:val="single" w:sz="4" w:space="0" w:color="auto"/>
              <w:bottom w:val="single" w:sz="4" w:space="0" w:color="auto"/>
            </w:tcBorders>
            <w:vAlign w:val="center"/>
          </w:tcPr>
          <w:p w:rsidR="00614ABF" w:rsidRPr="00C8008D" w:rsidRDefault="00614ABF" w:rsidP="0074637B">
            <w:pPr>
              <w:ind w:left="-567" w:firstLine="567"/>
              <w:rPr>
                <w:sz w:val="18"/>
                <w:szCs w:val="18"/>
                <w:lang w:val="en-US"/>
              </w:rPr>
            </w:pPr>
            <w:r w:rsidRPr="00C8008D">
              <w:rPr>
                <w:sz w:val="18"/>
                <w:szCs w:val="18"/>
                <w:lang w:val="en-US"/>
              </w:rPr>
              <w:t xml:space="preserve">Minus: cash and cash equivalents </w:t>
            </w:r>
          </w:p>
        </w:tc>
        <w:tc>
          <w:tcPr>
            <w:tcW w:w="1276" w:type="dxa"/>
            <w:tcBorders>
              <w:top w:val="single" w:sz="4" w:space="0" w:color="auto"/>
              <w:bottom w:val="single" w:sz="4" w:space="0" w:color="auto"/>
            </w:tcBorders>
            <w:vAlign w:val="center"/>
          </w:tcPr>
          <w:p w:rsidR="00614ABF" w:rsidRPr="00C8008D" w:rsidRDefault="00614ABF" w:rsidP="0074637B">
            <w:pPr>
              <w:ind w:left="-567" w:firstLine="567"/>
              <w:jc w:val="center"/>
              <w:rPr>
                <w:b/>
                <w:sz w:val="18"/>
                <w:szCs w:val="18"/>
                <w:lang w:val="en-US"/>
              </w:rPr>
            </w:pPr>
          </w:p>
        </w:tc>
        <w:tc>
          <w:tcPr>
            <w:tcW w:w="1276" w:type="dxa"/>
            <w:tcBorders>
              <w:top w:val="single" w:sz="4" w:space="0" w:color="auto"/>
              <w:bottom w:val="single" w:sz="4" w:space="0" w:color="auto"/>
            </w:tcBorders>
            <w:vAlign w:val="center"/>
          </w:tcPr>
          <w:p w:rsidR="00614ABF" w:rsidRDefault="00614ABF" w:rsidP="0074637B">
            <w:pPr>
              <w:jc w:val="center"/>
              <w:rPr>
                <w:color w:val="000000"/>
                <w:sz w:val="18"/>
                <w:szCs w:val="18"/>
              </w:rPr>
            </w:pPr>
            <w:r>
              <w:rPr>
                <w:color w:val="000000"/>
                <w:sz w:val="18"/>
                <w:szCs w:val="18"/>
              </w:rPr>
              <w:t>-43</w:t>
            </w:r>
          </w:p>
        </w:tc>
        <w:tc>
          <w:tcPr>
            <w:tcW w:w="1241" w:type="dxa"/>
            <w:tcBorders>
              <w:top w:val="single" w:sz="4" w:space="0" w:color="auto"/>
              <w:bottom w:val="single" w:sz="4" w:space="0" w:color="auto"/>
            </w:tcBorders>
            <w:vAlign w:val="center"/>
          </w:tcPr>
          <w:p w:rsidR="00614ABF" w:rsidRDefault="00614ABF" w:rsidP="0074637B">
            <w:pPr>
              <w:jc w:val="center"/>
              <w:rPr>
                <w:color w:val="000000"/>
                <w:sz w:val="18"/>
                <w:szCs w:val="18"/>
              </w:rPr>
            </w:pPr>
            <w:r>
              <w:rPr>
                <w:color w:val="000000"/>
                <w:sz w:val="18"/>
                <w:szCs w:val="18"/>
              </w:rPr>
              <w:t>-3%</w:t>
            </w:r>
          </w:p>
        </w:tc>
      </w:tr>
      <w:tr w:rsidR="00614ABF" w:rsidRPr="00C8008D" w:rsidTr="0074637B">
        <w:tc>
          <w:tcPr>
            <w:tcW w:w="5777" w:type="dxa"/>
            <w:tcBorders>
              <w:top w:val="single" w:sz="4" w:space="0" w:color="auto"/>
              <w:bottom w:val="single" w:sz="4" w:space="0" w:color="auto"/>
            </w:tcBorders>
            <w:vAlign w:val="center"/>
          </w:tcPr>
          <w:p w:rsidR="00614ABF" w:rsidRPr="00C8008D" w:rsidRDefault="00614ABF" w:rsidP="0074637B">
            <w:pPr>
              <w:ind w:left="-567" w:firstLine="567"/>
              <w:rPr>
                <w:b/>
                <w:sz w:val="18"/>
                <w:szCs w:val="18"/>
                <w:lang w:val="en-US"/>
              </w:rPr>
            </w:pPr>
            <w:r w:rsidRPr="00C8008D">
              <w:rPr>
                <w:b/>
                <w:sz w:val="18"/>
                <w:szCs w:val="18"/>
                <w:lang w:val="en-US"/>
              </w:rPr>
              <w:t>Net debt total</w:t>
            </w:r>
          </w:p>
        </w:tc>
        <w:tc>
          <w:tcPr>
            <w:tcW w:w="1276" w:type="dxa"/>
            <w:tcBorders>
              <w:top w:val="single" w:sz="4" w:space="0" w:color="auto"/>
              <w:bottom w:val="single" w:sz="4" w:space="0" w:color="auto"/>
            </w:tcBorders>
            <w:vAlign w:val="center"/>
          </w:tcPr>
          <w:p w:rsidR="00614ABF" w:rsidRPr="00C8008D" w:rsidRDefault="00614ABF" w:rsidP="0074637B">
            <w:pPr>
              <w:ind w:left="-567" w:firstLine="567"/>
              <w:jc w:val="center"/>
              <w:rPr>
                <w:b/>
                <w:sz w:val="18"/>
                <w:szCs w:val="18"/>
              </w:rPr>
            </w:pPr>
          </w:p>
        </w:tc>
        <w:tc>
          <w:tcPr>
            <w:tcW w:w="1276"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+1011</w:t>
            </w:r>
          </w:p>
        </w:tc>
        <w:tc>
          <w:tcPr>
            <w:tcW w:w="1241" w:type="dxa"/>
            <w:tcBorders>
              <w:top w:val="single" w:sz="4" w:space="0" w:color="auto"/>
              <w:bottom w:val="single" w:sz="4" w:space="0" w:color="auto"/>
            </w:tcBorders>
            <w:vAlign w:val="center"/>
          </w:tcPr>
          <w:p w:rsidR="00614ABF" w:rsidRDefault="00614ABF" w:rsidP="0074637B">
            <w:pPr>
              <w:jc w:val="center"/>
              <w:rPr>
                <w:b/>
                <w:bCs/>
                <w:color w:val="000000"/>
                <w:sz w:val="18"/>
                <w:szCs w:val="18"/>
              </w:rPr>
            </w:pPr>
            <w:r>
              <w:rPr>
                <w:b/>
                <w:bCs/>
                <w:color w:val="000000"/>
                <w:sz w:val="18"/>
                <w:szCs w:val="18"/>
              </w:rPr>
              <w:t>+22%</w:t>
            </w:r>
          </w:p>
        </w:tc>
      </w:tr>
    </w:tbl>
    <w:p w:rsidR="00614ABF" w:rsidRPr="00251CFC" w:rsidRDefault="00614ABF" w:rsidP="00614ABF">
      <w:pPr>
        <w:ind w:left="-567" w:firstLine="567"/>
        <w:jc w:val="both"/>
        <w:rPr>
          <w:sz w:val="22"/>
          <w:szCs w:val="22"/>
        </w:rPr>
      </w:pPr>
    </w:p>
    <w:p w:rsidR="00614ABF" w:rsidRPr="007824F5" w:rsidRDefault="00614ABF" w:rsidP="00614ABF">
      <w:pPr>
        <w:ind w:left="-567" w:firstLine="567"/>
        <w:jc w:val="both"/>
        <w:rPr>
          <w:sz w:val="22"/>
          <w:szCs w:val="22"/>
          <w:lang w:val="en-US"/>
        </w:rPr>
      </w:pPr>
      <w:r w:rsidRPr="007824F5">
        <w:rPr>
          <w:sz w:val="22"/>
          <w:szCs w:val="22"/>
          <w:lang w:val="en-US"/>
        </w:rPr>
        <w:t xml:space="preserve">There is a significant improvement in financial stability when </w:t>
      </w:r>
      <w:r>
        <w:rPr>
          <w:sz w:val="22"/>
          <w:szCs w:val="22"/>
          <w:lang w:val="en-US"/>
        </w:rPr>
        <w:t xml:space="preserve">increased </w:t>
      </w:r>
      <w:r w:rsidRPr="007824F5">
        <w:rPr>
          <w:sz w:val="22"/>
          <w:szCs w:val="22"/>
          <w:lang w:val="en-US"/>
        </w:rPr>
        <w:t xml:space="preserve">level of debt and the stable dynamics of the financial results in </w:t>
      </w:r>
      <w:r>
        <w:rPr>
          <w:sz w:val="22"/>
          <w:szCs w:val="22"/>
          <w:lang w:val="en-US"/>
        </w:rPr>
        <w:t>H1 2012</w:t>
      </w:r>
      <w:r w:rsidRPr="007824F5">
        <w:rPr>
          <w:sz w:val="22"/>
          <w:szCs w:val="22"/>
          <w:lang w:val="en-US"/>
        </w:rPr>
        <w:t xml:space="preserve"> compared to </w:t>
      </w:r>
      <w:r>
        <w:rPr>
          <w:sz w:val="22"/>
          <w:szCs w:val="22"/>
          <w:lang w:val="en-US"/>
        </w:rPr>
        <w:t>2011</w:t>
      </w:r>
      <w:r w:rsidRPr="007824F5">
        <w:rPr>
          <w:sz w:val="22"/>
          <w:szCs w:val="22"/>
          <w:lang w:val="en-US"/>
        </w:rPr>
        <w:t>.</w:t>
      </w:r>
    </w:p>
    <w:p w:rsidR="00614ABF" w:rsidRPr="007824F5" w:rsidRDefault="00614ABF" w:rsidP="00614ABF">
      <w:pPr>
        <w:ind w:left="-567" w:firstLine="567"/>
        <w:jc w:val="both"/>
        <w:rPr>
          <w:sz w:val="22"/>
          <w:szCs w:val="22"/>
          <w:lang w:val="en-US"/>
        </w:rPr>
      </w:pPr>
    </w:p>
    <w:tbl>
      <w:tblPr>
        <w:tblW w:w="0" w:type="auto"/>
        <w:tblInd w:w="-528" w:type="dxa"/>
        <w:tblLook w:val="00A0" w:firstRow="1" w:lastRow="0" w:firstColumn="1" w:lastColumn="0" w:noHBand="0" w:noVBand="0"/>
      </w:tblPr>
      <w:tblGrid>
        <w:gridCol w:w="5777"/>
        <w:gridCol w:w="1276"/>
        <w:gridCol w:w="1276"/>
        <w:gridCol w:w="1241"/>
      </w:tblGrid>
      <w:tr w:rsidR="00614ABF" w:rsidRPr="00353DB4" w:rsidTr="0074637B">
        <w:tc>
          <w:tcPr>
            <w:tcW w:w="9570" w:type="dxa"/>
            <w:gridSpan w:val="4"/>
            <w:vAlign w:val="center"/>
          </w:tcPr>
          <w:p w:rsidR="00614ABF" w:rsidRPr="00E907B5" w:rsidRDefault="00614ABF" w:rsidP="0074637B">
            <w:pPr>
              <w:ind w:left="-567" w:firstLine="567"/>
              <w:rPr>
                <w:b/>
                <w:sz w:val="18"/>
                <w:szCs w:val="18"/>
                <w:lang w:val="en-US"/>
              </w:rPr>
            </w:pPr>
            <w:r>
              <w:rPr>
                <w:b/>
                <w:sz w:val="18"/>
                <w:szCs w:val="18"/>
                <w:lang w:val="en-US"/>
              </w:rPr>
              <w:t>Table 3</w:t>
            </w:r>
            <w:r w:rsidRPr="00E907B5">
              <w:rPr>
                <w:b/>
                <w:sz w:val="18"/>
                <w:szCs w:val="18"/>
                <w:lang w:val="en-US"/>
              </w:rPr>
              <w:t xml:space="preserve"> Indicators of long-term financial stability of the Group </w:t>
            </w:r>
          </w:p>
        </w:tc>
      </w:tr>
      <w:tr w:rsidR="00614ABF" w:rsidRPr="00E907B5" w:rsidTr="0074637B">
        <w:tc>
          <w:tcPr>
            <w:tcW w:w="5777" w:type="dxa"/>
            <w:tcBorders>
              <w:bottom w:val="single" w:sz="4" w:space="0" w:color="auto"/>
            </w:tcBorders>
            <w:vAlign w:val="center"/>
          </w:tcPr>
          <w:p w:rsidR="00614ABF" w:rsidRPr="00E907B5" w:rsidRDefault="00614ABF" w:rsidP="0074637B">
            <w:pPr>
              <w:ind w:left="-567" w:firstLine="567"/>
              <w:rPr>
                <w:i/>
                <w:sz w:val="18"/>
                <w:szCs w:val="18"/>
                <w:lang w:val="en-US"/>
              </w:rPr>
            </w:pP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lang w:val="en-US"/>
              </w:rPr>
            </w:pPr>
          </w:p>
        </w:tc>
        <w:tc>
          <w:tcPr>
            <w:tcW w:w="1276" w:type="dxa"/>
            <w:tcBorders>
              <w:bottom w:val="single" w:sz="4" w:space="0" w:color="auto"/>
            </w:tcBorders>
            <w:vAlign w:val="center"/>
          </w:tcPr>
          <w:p w:rsidR="00614ABF" w:rsidRPr="007627EC" w:rsidRDefault="00614ABF" w:rsidP="0074637B">
            <w:pPr>
              <w:ind w:left="-567" w:firstLine="567"/>
              <w:jc w:val="center"/>
              <w:rPr>
                <w:b/>
                <w:sz w:val="18"/>
                <w:szCs w:val="18"/>
                <w:lang w:val="en-US"/>
              </w:rPr>
            </w:pPr>
            <w:r>
              <w:rPr>
                <w:b/>
                <w:sz w:val="18"/>
                <w:szCs w:val="18"/>
                <w:lang w:val="en-US"/>
              </w:rPr>
              <w:t>H1 2012</w:t>
            </w:r>
          </w:p>
        </w:tc>
        <w:tc>
          <w:tcPr>
            <w:tcW w:w="1241" w:type="dxa"/>
            <w:tcBorders>
              <w:bottom w:val="single" w:sz="4" w:space="0" w:color="auto"/>
            </w:tcBorders>
            <w:vAlign w:val="center"/>
          </w:tcPr>
          <w:p w:rsidR="00614ABF" w:rsidRPr="007627EC" w:rsidRDefault="00614ABF" w:rsidP="0074637B">
            <w:pPr>
              <w:ind w:left="-567" w:firstLine="567"/>
              <w:jc w:val="center"/>
              <w:rPr>
                <w:b/>
                <w:sz w:val="18"/>
                <w:szCs w:val="18"/>
                <w:lang w:val="en-US"/>
              </w:rPr>
            </w:pPr>
            <w:r>
              <w:rPr>
                <w:b/>
                <w:sz w:val="18"/>
                <w:szCs w:val="18"/>
                <w:lang w:val="en-US"/>
              </w:rPr>
              <w:t>2011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Debt</w:t>
            </w:r>
            <w:r w:rsidRPr="00E907B5">
              <w:rPr>
                <w:sz w:val="18"/>
                <w:szCs w:val="18"/>
              </w:rPr>
              <w:t xml:space="preserve"> / </w:t>
            </w:r>
            <w:r w:rsidRPr="00E907B5">
              <w:rPr>
                <w:sz w:val="18"/>
                <w:szCs w:val="18"/>
                <w:lang w:val="en-US"/>
              </w:rPr>
              <w:t>Equity</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1,26</w:t>
            </w:r>
          </w:p>
        </w:tc>
        <w:tc>
          <w:tcPr>
            <w:tcW w:w="1241" w:type="dxa"/>
            <w:vAlign w:val="center"/>
          </w:tcPr>
          <w:p w:rsidR="00614ABF" w:rsidRDefault="00614ABF" w:rsidP="0074637B">
            <w:pPr>
              <w:jc w:val="center"/>
              <w:rPr>
                <w:color w:val="000000"/>
                <w:sz w:val="18"/>
                <w:szCs w:val="18"/>
              </w:rPr>
            </w:pPr>
            <w:r>
              <w:rPr>
                <w:color w:val="000000"/>
                <w:sz w:val="18"/>
                <w:szCs w:val="18"/>
              </w:rPr>
              <w:t>1,1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Net debt</w:t>
            </w:r>
            <w:r w:rsidRPr="00E907B5">
              <w:rPr>
                <w:sz w:val="18"/>
                <w:szCs w:val="18"/>
              </w:rPr>
              <w:t xml:space="preserve"> / </w:t>
            </w:r>
            <w:r w:rsidRPr="00E907B5">
              <w:rPr>
                <w:sz w:val="18"/>
                <w:szCs w:val="18"/>
                <w:lang w:val="en-US"/>
              </w:rPr>
              <w:t>Equity</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1,0</w:t>
            </w:r>
          </w:p>
        </w:tc>
        <w:tc>
          <w:tcPr>
            <w:tcW w:w="1241" w:type="dxa"/>
            <w:vAlign w:val="center"/>
          </w:tcPr>
          <w:p w:rsidR="00614ABF" w:rsidRDefault="00614ABF" w:rsidP="0074637B">
            <w:pPr>
              <w:jc w:val="center"/>
              <w:rPr>
                <w:color w:val="000000"/>
                <w:sz w:val="18"/>
                <w:szCs w:val="18"/>
              </w:rPr>
            </w:pPr>
            <w:r>
              <w:rPr>
                <w:color w:val="000000"/>
                <w:sz w:val="18"/>
                <w:szCs w:val="18"/>
              </w:rPr>
              <w:t>0,8</w:t>
            </w:r>
          </w:p>
        </w:tc>
      </w:tr>
    </w:tbl>
    <w:p w:rsidR="00614ABF" w:rsidRPr="00251CFC" w:rsidRDefault="00614ABF" w:rsidP="00614ABF">
      <w:pPr>
        <w:ind w:left="-567" w:firstLine="567"/>
        <w:jc w:val="both"/>
        <w:rPr>
          <w:sz w:val="22"/>
          <w:szCs w:val="22"/>
        </w:rPr>
      </w:pPr>
    </w:p>
    <w:p w:rsidR="00614ABF" w:rsidRPr="007824F5" w:rsidRDefault="00614ABF" w:rsidP="00614ABF">
      <w:pPr>
        <w:ind w:left="-567" w:firstLine="567"/>
        <w:jc w:val="both"/>
        <w:rPr>
          <w:sz w:val="22"/>
          <w:szCs w:val="22"/>
          <w:lang w:val="en-US"/>
        </w:rPr>
      </w:pPr>
      <w:r w:rsidRPr="007824F5">
        <w:rPr>
          <w:sz w:val="22"/>
          <w:szCs w:val="22"/>
          <w:lang w:val="en-US"/>
        </w:rPr>
        <w:t xml:space="preserve">The financial stability of the Group, excluding </w:t>
      </w:r>
      <w:r>
        <w:rPr>
          <w:sz w:val="22"/>
          <w:szCs w:val="22"/>
          <w:lang w:val="en-US"/>
        </w:rPr>
        <w:t>second-tier</w:t>
      </w:r>
      <w:r w:rsidRPr="007824F5">
        <w:rPr>
          <w:sz w:val="22"/>
          <w:szCs w:val="22"/>
          <w:lang w:val="en-US"/>
        </w:rPr>
        <w:t xml:space="preserve"> banks also </w:t>
      </w:r>
      <w:r>
        <w:rPr>
          <w:sz w:val="22"/>
          <w:szCs w:val="22"/>
          <w:lang w:val="en-US"/>
        </w:rPr>
        <w:t>changed</w:t>
      </w:r>
      <w:r w:rsidRPr="007824F5">
        <w:rPr>
          <w:sz w:val="22"/>
          <w:szCs w:val="22"/>
          <w:lang w:val="en-US"/>
        </w:rPr>
        <w:t xml:space="preserve"> significantly in </w:t>
      </w:r>
      <w:r>
        <w:rPr>
          <w:sz w:val="22"/>
          <w:szCs w:val="22"/>
          <w:lang w:val="en-US"/>
        </w:rPr>
        <w:t>H1 2012</w:t>
      </w:r>
      <w:r w:rsidRPr="007824F5">
        <w:rPr>
          <w:sz w:val="22"/>
          <w:szCs w:val="22"/>
          <w:lang w:val="en-US"/>
        </w:rPr>
        <w:t>.</w:t>
      </w:r>
    </w:p>
    <w:tbl>
      <w:tblPr>
        <w:tblW w:w="0" w:type="auto"/>
        <w:tblInd w:w="-528" w:type="dxa"/>
        <w:tblLook w:val="00A0" w:firstRow="1" w:lastRow="0" w:firstColumn="1" w:lastColumn="0" w:noHBand="0" w:noVBand="0"/>
      </w:tblPr>
      <w:tblGrid>
        <w:gridCol w:w="5777"/>
        <w:gridCol w:w="1276"/>
        <w:gridCol w:w="1276"/>
        <w:gridCol w:w="1241"/>
      </w:tblGrid>
      <w:tr w:rsidR="00614ABF" w:rsidRPr="00353DB4" w:rsidTr="0074637B">
        <w:tc>
          <w:tcPr>
            <w:tcW w:w="9570" w:type="dxa"/>
            <w:gridSpan w:val="4"/>
            <w:vAlign w:val="center"/>
          </w:tcPr>
          <w:p w:rsidR="00614ABF" w:rsidRPr="00E907B5" w:rsidRDefault="00614ABF" w:rsidP="0074637B">
            <w:pPr>
              <w:ind w:left="-567" w:firstLine="567"/>
              <w:rPr>
                <w:b/>
                <w:sz w:val="18"/>
                <w:szCs w:val="18"/>
                <w:lang w:val="en-US"/>
              </w:rPr>
            </w:pPr>
          </w:p>
          <w:p w:rsidR="00614ABF" w:rsidRPr="00E907B5" w:rsidRDefault="00614ABF" w:rsidP="0074637B">
            <w:pPr>
              <w:ind w:left="-567" w:firstLine="567"/>
              <w:rPr>
                <w:b/>
                <w:sz w:val="18"/>
                <w:szCs w:val="18"/>
                <w:lang w:val="en-US"/>
              </w:rPr>
            </w:pPr>
            <w:r w:rsidRPr="00E907B5">
              <w:rPr>
                <w:b/>
                <w:sz w:val="18"/>
                <w:szCs w:val="18"/>
                <w:lang w:val="en-US"/>
              </w:rPr>
              <w:t>Table 5 Key financial indicators of the Group (without STB)</w:t>
            </w:r>
          </w:p>
        </w:tc>
      </w:tr>
      <w:tr w:rsidR="00614ABF" w:rsidRPr="00E907B5" w:rsidTr="0074637B">
        <w:tc>
          <w:tcPr>
            <w:tcW w:w="5777" w:type="dxa"/>
            <w:tcBorders>
              <w:bottom w:val="single" w:sz="4" w:space="0" w:color="auto"/>
            </w:tcBorders>
            <w:vAlign w:val="center"/>
          </w:tcPr>
          <w:p w:rsidR="00614ABF" w:rsidRPr="00E907B5" w:rsidRDefault="00614ABF" w:rsidP="0074637B">
            <w:pPr>
              <w:ind w:left="-567" w:firstLine="567"/>
              <w:rPr>
                <w:i/>
                <w:sz w:val="18"/>
                <w:szCs w:val="18"/>
                <w:lang w:val="en-US"/>
              </w:rPr>
            </w:pPr>
            <w:r w:rsidRPr="00E907B5">
              <w:rPr>
                <w:i/>
                <w:sz w:val="18"/>
                <w:szCs w:val="18"/>
                <w:lang w:val="en-US"/>
              </w:rPr>
              <w:t xml:space="preserve">In </w:t>
            </w:r>
            <w:r>
              <w:rPr>
                <w:i/>
                <w:sz w:val="18"/>
                <w:szCs w:val="18"/>
                <w:lang w:val="en-US"/>
              </w:rPr>
              <w:t>billion</w:t>
            </w:r>
            <w:r w:rsidRPr="00E907B5">
              <w:rPr>
                <w:i/>
                <w:sz w:val="18"/>
                <w:szCs w:val="18"/>
                <w:lang w:val="en-US"/>
              </w:rPr>
              <w:t xml:space="preserve"> KZT</w:t>
            </w: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rPr>
            </w:pP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rPr>
            </w:pPr>
            <w:r>
              <w:rPr>
                <w:b/>
                <w:sz w:val="18"/>
                <w:szCs w:val="18"/>
                <w:lang w:val="en-US"/>
              </w:rPr>
              <w:t>H1 2012</w:t>
            </w:r>
          </w:p>
        </w:tc>
        <w:tc>
          <w:tcPr>
            <w:tcW w:w="1241" w:type="dxa"/>
            <w:tcBorders>
              <w:bottom w:val="single" w:sz="4" w:space="0" w:color="auto"/>
            </w:tcBorders>
            <w:vAlign w:val="center"/>
          </w:tcPr>
          <w:p w:rsidR="00614ABF" w:rsidRPr="007627EC" w:rsidRDefault="00614ABF" w:rsidP="0074637B">
            <w:pPr>
              <w:ind w:left="-567" w:firstLine="567"/>
              <w:jc w:val="center"/>
              <w:rPr>
                <w:b/>
                <w:sz w:val="18"/>
                <w:szCs w:val="18"/>
                <w:lang w:val="en-US"/>
              </w:rPr>
            </w:pPr>
            <w:r>
              <w:rPr>
                <w:b/>
                <w:sz w:val="18"/>
                <w:szCs w:val="18"/>
              </w:rPr>
              <w:t>201</w:t>
            </w:r>
            <w:r>
              <w:rPr>
                <w:b/>
                <w:sz w:val="18"/>
                <w:szCs w:val="18"/>
                <w:lang w:val="en-US"/>
              </w:rPr>
              <w:t>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Debt</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4 508</w:t>
            </w:r>
          </w:p>
        </w:tc>
        <w:tc>
          <w:tcPr>
            <w:tcW w:w="1241" w:type="dxa"/>
            <w:vAlign w:val="center"/>
          </w:tcPr>
          <w:p w:rsidR="00614ABF" w:rsidRDefault="00614ABF" w:rsidP="0074637B">
            <w:pPr>
              <w:jc w:val="center"/>
              <w:rPr>
                <w:color w:val="000000"/>
                <w:sz w:val="18"/>
                <w:szCs w:val="18"/>
              </w:rPr>
            </w:pPr>
            <w:r>
              <w:rPr>
                <w:color w:val="000000"/>
                <w:sz w:val="18"/>
                <w:szCs w:val="18"/>
              </w:rPr>
              <w:t>4 741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Net debt</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2 968</w:t>
            </w:r>
          </w:p>
        </w:tc>
        <w:tc>
          <w:tcPr>
            <w:tcW w:w="1241" w:type="dxa"/>
            <w:vAlign w:val="center"/>
          </w:tcPr>
          <w:p w:rsidR="00614ABF" w:rsidRDefault="00614ABF" w:rsidP="0074637B">
            <w:pPr>
              <w:jc w:val="center"/>
              <w:rPr>
                <w:color w:val="000000"/>
                <w:sz w:val="18"/>
                <w:szCs w:val="18"/>
              </w:rPr>
            </w:pPr>
            <w:r>
              <w:rPr>
                <w:color w:val="000000"/>
                <w:sz w:val="18"/>
                <w:szCs w:val="18"/>
              </w:rPr>
              <w:t>3 152</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Equity of the Group</w:t>
            </w:r>
          </w:p>
        </w:tc>
        <w:tc>
          <w:tcPr>
            <w:tcW w:w="1276" w:type="dxa"/>
            <w:vAlign w:val="center"/>
          </w:tcPr>
          <w:p w:rsidR="00614ABF" w:rsidRPr="00E907B5" w:rsidRDefault="00614ABF" w:rsidP="0074637B">
            <w:pPr>
              <w:ind w:left="-567" w:firstLine="567"/>
              <w:jc w:val="center"/>
              <w:rPr>
                <w:sz w:val="18"/>
                <w:szCs w:val="18"/>
                <w:lang w:val="en-US"/>
              </w:rPr>
            </w:pPr>
          </w:p>
        </w:tc>
        <w:tc>
          <w:tcPr>
            <w:tcW w:w="1276" w:type="dxa"/>
            <w:vAlign w:val="center"/>
          </w:tcPr>
          <w:p w:rsidR="00614ABF" w:rsidRDefault="00614ABF" w:rsidP="0074637B">
            <w:pPr>
              <w:jc w:val="center"/>
              <w:rPr>
                <w:color w:val="000000"/>
                <w:sz w:val="18"/>
                <w:szCs w:val="18"/>
              </w:rPr>
            </w:pPr>
            <w:r>
              <w:rPr>
                <w:color w:val="000000"/>
                <w:sz w:val="18"/>
                <w:szCs w:val="18"/>
              </w:rPr>
              <w:t>6 525</w:t>
            </w:r>
          </w:p>
        </w:tc>
        <w:tc>
          <w:tcPr>
            <w:tcW w:w="1241" w:type="dxa"/>
            <w:vAlign w:val="center"/>
          </w:tcPr>
          <w:p w:rsidR="00614ABF" w:rsidRDefault="00614ABF" w:rsidP="0074637B">
            <w:pPr>
              <w:jc w:val="center"/>
              <w:rPr>
                <w:color w:val="000000"/>
                <w:sz w:val="18"/>
                <w:szCs w:val="18"/>
              </w:rPr>
            </w:pPr>
            <w:r>
              <w:rPr>
                <w:color w:val="000000"/>
                <w:sz w:val="18"/>
                <w:szCs w:val="18"/>
              </w:rPr>
              <w:t>5 900</w:t>
            </w:r>
          </w:p>
        </w:tc>
      </w:tr>
    </w:tbl>
    <w:p w:rsidR="00614ABF" w:rsidRPr="00251CFC" w:rsidRDefault="00614ABF" w:rsidP="00614ABF">
      <w:pPr>
        <w:ind w:left="-567" w:firstLine="567"/>
        <w:jc w:val="both"/>
        <w:rPr>
          <w:sz w:val="22"/>
          <w:szCs w:val="22"/>
        </w:rPr>
      </w:pPr>
    </w:p>
    <w:tbl>
      <w:tblPr>
        <w:tblW w:w="0" w:type="auto"/>
        <w:tblInd w:w="-528" w:type="dxa"/>
        <w:tblLook w:val="00A0" w:firstRow="1" w:lastRow="0" w:firstColumn="1" w:lastColumn="0" w:noHBand="0" w:noVBand="0"/>
      </w:tblPr>
      <w:tblGrid>
        <w:gridCol w:w="5777"/>
        <w:gridCol w:w="1276"/>
        <w:gridCol w:w="1276"/>
        <w:gridCol w:w="1241"/>
      </w:tblGrid>
      <w:tr w:rsidR="00614ABF" w:rsidRPr="00353DB4" w:rsidTr="0074637B">
        <w:tc>
          <w:tcPr>
            <w:tcW w:w="9570" w:type="dxa"/>
            <w:gridSpan w:val="4"/>
            <w:vAlign w:val="center"/>
          </w:tcPr>
          <w:p w:rsidR="00614ABF" w:rsidRPr="00E907B5" w:rsidRDefault="00614ABF" w:rsidP="0074637B">
            <w:pPr>
              <w:ind w:left="-567" w:firstLine="567"/>
              <w:rPr>
                <w:b/>
                <w:sz w:val="18"/>
                <w:szCs w:val="18"/>
                <w:lang w:val="en-US"/>
              </w:rPr>
            </w:pPr>
            <w:r w:rsidRPr="00E907B5">
              <w:rPr>
                <w:b/>
                <w:sz w:val="18"/>
                <w:szCs w:val="18"/>
                <w:lang w:val="en-US"/>
              </w:rPr>
              <w:t>Table 6 Indicators of long-term financial stability of the Group (without STB)</w:t>
            </w:r>
          </w:p>
        </w:tc>
      </w:tr>
      <w:tr w:rsidR="00614ABF" w:rsidRPr="00E907B5" w:rsidTr="0074637B">
        <w:tc>
          <w:tcPr>
            <w:tcW w:w="5777" w:type="dxa"/>
            <w:tcBorders>
              <w:bottom w:val="single" w:sz="4" w:space="0" w:color="auto"/>
            </w:tcBorders>
            <w:vAlign w:val="center"/>
          </w:tcPr>
          <w:p w:rsidR="00614ABF" w:rsidRPr="00E907B5" w:rsidRDefault="00614ABF" w:rsidP="0074637B">
            <w:pPr>
              <w:ind w:left="-567" w:firstLine="567"/>
              <w:rPr>
                <w:i/>
                <w:sz w:val="18"/>
                <w:szCs w:val="18"/>
                <w:lang w:val="en-US"/>
              </w:rPr>
            </w:pP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lang w:val="en-US"/>
              </w:rPr>
            </w:pPr>
          </w:p>
        </w:tc>
        <w:tc>
          <w:tcPr>
            <w:tcW w:w="1276" w:type="dxa"/>
            <w:tcBorders>
              <w:bottom w:val="single" w:sz="4" w:space="0" w:color="auto"/>
            </w:tcBorders>
            <w:vAlign w:val="center"/>
          </w:tcPr>
          <w:p w:rsidR="00614ABF" w:rsidRPr="00E907B5" w:rsidRDefault="00614ABF" w:rsidP="0074637B">
            <w:pPr>
              <w:ind w:left="-567" w:firstLine="567"/>
              <w:jc w:val="center"/>
              <w:rPr>
                <w:b/>
                <w:sz w:val="18"/>
                <w:szCs w:val="18"/>
              </w:rPr>
            </w:pPr>
            <w:r>
              <w:rPr>
                <w:b/>
                <w:sz w:val="18"/>
                <w:szCs w:val="18"/>
                <w:lang w:val="en-US"/>
              </w:rPr>
              <w:t>H1 2012</w:t>
            </w:r>
          </w:p>
        </w:tc>
        <w:tc>
          <w:tcPr>
            <w:tcW w:w="1241" w:type="dxa"/>
            <w:tcBorders>
              <w:bottom w:val="single" w:sz="4" w:space="0" w:color="auto"/>
            </w:tcBorders>
            <w:vAlign w:val="center"/>
          </w:tcPr>
          <w:p w:rsidR="00614ABF" w:rsidRPr="007627EC" w:rsidRDefault="00614ABF" w:rsidP="0074637B">
            <w:pPr>
              <w:ind w:left="-567" w:firstLine="567"/>
              <w:jc w:val="center"/>
              <w:rPr>
                <w:b/>
                <w:sz w:val="18"/>
                <w:szCs w:val="18"/>
                <w:lang w:val="en-US"/>
              </w:rPr>
            </w:pPr>
            <w:r>
              <w:rPr>
                <w:b/>
                <w:sz w:val="18"/>
                <w:szCs w:val="18"/>
              </w:rPr>
              <w:t>201</w:t>
            </w:r>
            <w:r>
              <w:rPr>
                <w:b/>
                <w:sz w:val="18"/>
                <w:szCs w:val="18"/>
                <w:lang w:val="en-US"/>
              </w:rPr>
              <w:t>1</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Debt</w:t>
            </w:r>
            <w:r w:rsidRPr="00E907B5">
              <w:rPr>
                <w:sz w:val="18"/>
                <w:szCs w:val="18"/>
              </w:rPr>
              <w:t xml:space="preserve"> / </w:t>
            </w:r>
            <w:r w:rsidRPr="00E907B5">
              <w:rPr>
                <w:sz w:val="18"/>
                <w:szCs w:val="18"/>
                <w:lang w:val="en-US"/>
              </w:rPr>
              <w:t>Capital</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0,7</w:t>
            </w:r>
          </w:p>
        </w:tc>
        <w:tc>
          <w:tcPr>
            <w:tcW w:w="1241" w:type="dxa"/>
            <w:vAlign w:val="center"/>
          </w:tcPr>
          <w:p w:rsidR="00614ABF" w:rsidRDefault="00614ABF" w:rsidP="0074637B">
            <w:pPr>
              <w:jc w:val="center"/>
              <w:rPr>
                <w:color w:val="000000"/>
                <w:sz w:val="18"/>
                <w:szCs w:val="18"/>
              </w:rPr>
            </w:pPr>
            <w:r>
              <w:rPr>
                <w:color w:val="000000"/>
                <w:sz w:val="18"/>
                <w:szCs w:val="18"/>
              </w:rPr>
              <w:t>0,8</w:t>
            </w:r>
          </w:p>
        </w:tc>
      </w:tr>
      <w:tr w:rsidR="00614ABF" w:rsidRPr="00E907B5" w:rsidTr="0074637B">
        <w:tc>
          <w:tcPr>
            <w:tcW w:w="5777" w:type="dxa"/>
            <w:vAlign w:val="center"/>
          </w:tcPr>
          <w:p w:rsidR="00614ABF" w:rsidRPr="00E907B5" w:rsidRDefault="00614ABF" w:rsidP="0074637B">
            <w:pPr>
              <w:ind w:left="-567" w:firstLine="567"/>
              <w:rPr>
                <w:sz w:val="18"/>
                <w:szCs w:val="18"/>
                <w:lang w:val="en-US"/>
              </w:rPr>
            </w:pPr>
            <w:r w:rsidRPr="00E907B5">
              <w:rPr>
                <w:sz w:val="18"/>
                <w:szCs w:val="18"/>
                <w:lang w:val="en-US"/>
              </w:rPr>
              <w:t>Net debt</w:t>
            </w:r>
            <w:r w:rsidRPr="00E907B5">
              <w:rPr>
                <w:sz w:val="18"/>
                <w:szCs w:val="18"/>
              </w:rPr>
              <w:t xml:space="preserve"> / </w:t>
            </w:r>
            <w:r w:rsidRPr="00E907B5">
              <w:rPr>
                <w:sz w:val="18"/>
                <w:szCs w:val="18"/>
                <w:lang w:val="en-US"/>
              </w:rPr>
              <w:t>Capital</w:t>
            </w:r>
          </w:p>
        </w:tc>
        <w:tc>
          <w:tcPr>
            <w:tcW w:w="1276" w:type="dxa"/>
            <w:vAlign w:val="center"/>
          </w:tcPr>
          <w:p w:rsidR="00614ABF" w:rsidRPr="00E907B5" w:rsidRDefault="00614ABF" w:rsidP="0074637B">
            <w:pPr>
              <w:ind w:left="-567" w:firstLine="567"/>
              <w:jc w:val="center"/>
              <w:rPr>
                <w:sz w:val="18"/>
                <w:szCs w:val="18"/>
              </w:rPr>
            </w:pPr>
          </w:p>
        </w:tc>
        <w:tc>
          <w:tcPr>
            <w:tcW w:w="1276" w:type="dxa"/>
            <w:vAlign w:val="center"/>
          </w:tcPr>
          <w:p w:rsidR="00614ABF" w:rsidRDefault="00614ABF" w:rsidP="0074637B">
            <w:pPr>
              <w:jc w:val="center"/>
              <w:rPr>
                <w:color w:val="000000"/>
                <w:sz w:val="18"/>
                <w:szCs w:val="18"/>
              </w:rPr>
            </w:pPr>
            <w:r>
              <w:rPr>
                <w:color w:val="000000"/>
                <w:sz w:val="18"/>
                <w:szCs w:val="18"/>
              </w:rPr>
              <w:t>0,5</w:t>
            </w:r>
          </w:p>
        </w:tc>
        <w:tc>
          <w:tcPr>
            <w:tcW w:w="1241" w:type="dxa"/>
            <w:vAlign w:val="center"/>
          </w:tcPr>
          <w:p w:rsidR="00614ABF" w:rsidRDefault="00614ABF" w:rsidP="0074637B">
            <w:pPr>
              <w:jc w:val="center"/>
              <w:rPr>
                <w:color w:val="000000"/>
                <w:sz w:val="18"/>
                <w:szCs w:val="18"/>
              </w:rPr>
            </w:pPr>
            <w:r>
              <w:rPr>
                <w:color w:val="000000"/>
                <w:sz w:val="18"/>
                <w:szCs w:val="18"/>
              </w:rPr>
              <w:t>0,5</w:t>
            </w:r>
          </w:p>
        </w:tc>
      </w:tr>
    </w:tbl>
    <w:p w:rsidR="00614ABF" w:rsidRPr="00251CFC" w:rsidRDefault="00614ABF" w:rsidP="00614ABF">
      <w:pPr>
        <w:ind w:left="-567" w:firstLine="567"/>
        <w:jc w:val="both"/>
        <w:rPr>
          <w:sz w:val="22"/>
          <w:szCs w:val="22"/>
        </w:rPr>
      </w:pPr>
    </w:p>
    <w:p w:rsidR="002664E4" w:rsidRPr="00251CFC" w:rsidRDefault="002664E4" w:rsidP="00614ABF">
      <w:pPr>
        <w:jc w:val="both"/>
        <w:rPr>
          <w:sz w:val="22"/>
          <w:szCs w:val="22"/>
        </w:rPr>
      </w:pPr>
    </w:p>
    <w:sectPr w:rsidR="002664E4" w:rsidRPr="00251CFC">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9B" w:rsidRDefault="00C16C9B" w:rsidP="002664E4">
      <w:r>
        <w:separator/>
      </w:r>
    </w:p>
  </w:endnote>
  <w:endnote w:type="continuationSeparator" w:id="0">
    <w:p w:rsidR="00C16C9B" w:rsidRDefault="00C16C9B" w:rsidP="0026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08711"/>
      <w:docPartObj>
        <w:docPartGallery w:val="Page Numbers (Bottom of Page)"/>
        <w:docPartUnique/>
      </w:docPartObj>
    </w:sdtPr>
    <w:sdtEndPr/>
    <w:sdtContent>
      <w:p w:rsidR="00D375AF" w:rsidRDefault="00D375AF">
        <w:pPr>
          <w:pStyle w:val="a7"/>
          <w:jc w:val="right"/>
        </w:pPr>
        <w:r>
          <w:fldChar w:fldCharType="begin"/>
        </w:r>
        <w:r>
          <w:instrText>PAGE   \* MERGEFORMAT</w:instrText>
        </w:r>
        <w:r>
          <w:fldChar w:fldCharType="separate"/>
        </w:r>
        <w:r w:rsidR="00353DB4">
          <w:rPr>
            <w:noProof/>
          </w:rPr>
          <w:t>2</w:t>
        </w:r>
        <w:r>
          <w:fldChar w:fldCharType="end"/>
        </w:r>
      </w:p>
    </w:sdtContent>
  </w:sdt>
  <w:p w:rsidR="00D375AF" w:rsidRDefault="00D375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9B" w:rsidRDefault="00C16C9B" w:rsidP="002664E4">
      <w:r>
        <w:separator/>
      </w:r>
    </w:p>
  </w:footnote>
  <w:footnote w:type="continuationSeparator" w:id="0">
    <w:p w:rsidR="00C16C9B" w:rsidRDefault="00C16C9B" w:rsidP="002664E4">
      <w:r>
        <w:continuationSeparator/>
      </w:r>
    </w:p>
  </w:footnote>
  <w:footnote w:id="1">
    <w:p w:rsidR="00D375AF" w:rsidRPr="00545004" w:rsidRDefault="00D375AF" w:rsidP="00545004">
      <w:pPr>
        <w:pStyle w:val="af3"/>
        <w:rPr>
          <w:rFonts w:eastAsiaTheme="minorHAnsi"/>
          <w:lang w:val="en-US"/>
        </w:rPr>
      </w:pPr>
      <w:r w:rsidRPr="00545004">
        <w:rPr>
          <w:rStyle w:val="af5"/>
          <w:sz w:val="16"/>
          <w:szCs w:val="16"/>
          <w:lang w:val="en-US"/>
        </w:rPr>
        <w:t>[1]</w:t>
      </w:r>
      <w:r w:rsidRPr="00545004">
        <w:rPr>
          <w:sz w:val="16"/>
          <w:szCs w:val="16"/>
          <w:lang w:val="en-US"/>
        </w:rPr>
        <w:t xml:space="preserve"> </w:t>
      </w:r>
      <w:r>
        <w:rPr>
          <w:sz w:val="16"/>
          <w:szCs w:val="16"/>
          <w:lang w:val="en-US"/>
        </w:rPr>
        <w:t>Percentage points</w:t>
      </w:r>
    </w:p>
  </w:footnote>
  <w:footnote w:id="2">
    <w:p w:rsidR="00D375AF" w:rsidRPr="00196FBE" w:rsidRDefault="00D375AF" w:rsidP="00627857">
      <w:pPr>
        <w:pStyle w:val="af3"/>
        <w:tabs>
          <w:tab w:val="left" w:pos="284"/>
        </w:tabs>
        <w:ind w:left="-709" w:firstLine="709"/>
        <w:rPr>
          <w:sz w:val="16"/>
          <w:szCs w:val="16"/>
          <w:lang w:val="en-US"/>
        </w:rPr>
      </w:pPr>
      <w:r>
        <w:rPr>
          <w:rStyle w:val="af5"/>
        </w:rPr>
        <w:footnoteRef/>
      </w:r>
      <w:r w:rsidRPr="0077753A">
        <w:rPr>
          <w:lang w:val="en-US"/>
        </w:rPr>
        <w:t xml:space="preserve"> </w:t>
      </w:r>
      <w:r w:rsidRPr="00196FBE">
        <w:rPr>
          <w:sz w:val="16"/>
          <w:szCs w:val="16"/>
          <w:lang w:val="en-US"/>
        </w:rPr>
        <w:t>EBITDA = (Revenues from sales and interest income, total - Cost of sales and interest expenses - General and administrative expenses - Shipping costs and sales) + (Depreciation of fixed assets and amortization of intangible assets accounted for in cost of sales, general and administrative expenses and in the cost of transportation and implementation);</w:t>
      </w:r>
    </w:p>
  </w:footnote>
  <w:footnote w:id="3">
    <w:p w:rsidR="00D375AF" w:rsidRPr="00196FBE" w:rsidRDefault="00D375AF" w:rsidP="00627857">
      <w:pPr>
        <w:pStyle w:val="af3"/>
        <w:tabs>
          <w:tab w:val="left" w:pos="284"/>
        </w:tabs>
        <w:ind w:left="-709" w:firstLine="709"/>
        <w:rPr>
          <w:sz w:val="16"/>
          <w:szCs w:val="16"/>
          <w:lang w:val="en-US"/>
        </w:rPr>
      </w:pPr>
      <w:r w:rsidRPr="00196FBE">
        <w:rPr>
          <w:sz w:val="16"/>
          <w:szCs w:val="16"/>
          <w:lang w:val="en-US"/>
        </w:rPr>
        <w:footnoteRef/>
      </w:r>
      <w:r w:rsidRPr="00196FBE">
        <w:rPr>
          <w:sz w:val="16"/>
          <w:szCs w:val="16"/>
          <w:lang w:val="en-US"/>
        </w:rPr>
        <w:t xml:space="preserve"> EBITDA margin = EBITDA / Revenues from sales and interest income, total.</w:t>
      </w:r>
    </w:p>
  </w:footnote>
  <w:footnote w:id="4">
    <w:p w:rsidR="00D375AF" w:rsidRPr="00770BC8" w:rsidRDefault="00D375AF" w:rsidP="00627857">
      <w:pPr>
        <w:pStyle w:val="af3"/>
        <w:tabs>
          <w:tab w:val="left" w:pos="284"/>
        </w:tabs>
        <w:ind w:left="-709" w:firstLine="709"/>
        <w:rPr>
          <w:sz w:val="16"/>
          <w:szCs w:val="16"/>
          <w:lang w:val="en-US"/>
        </w:rPr>
      </w:pPr>
      <w:r w:rsidRPr="00770BC8">
        <w:rPr>
          <w:rStyle w:val="af5"/>
          <w:sz w:val="16"/>
          <w:szCs w:val="16"/>
        </w:rPr>
        <w:footnoteRef/>
      </w:r>
      <w:r w:rsidRPr="008E13FF">
        <w:rPr>
          <w:sz w:val="16"/>
          <w:szCs w:val="16"/>
          <w:lang w:val="en-US"/>
        </w:rPr>
        <w:t xml:space="preserve"> ROACE =  NOPAT / </w:t>
      </w:r>
      <w:r w:rsidRPr="00770BC8">
        <w:rPr>
          <w:sz w:val="16"/>
          <w:szCs w:val="16"/>
          <w:lang w:val="en-US"/>
        </w:rPr>
        <w:t>ACE</w:t>
      </w:r>
    </w:p>
    <w:p w:rsidR="00D375AF" w:rsidRDefault="00D375AF" w:rsidP="00627857">
      <w:pPr>
        <w:pStyle w:val="af3"/>
        <w:tabs>
          <w:tab w:val="left" w:pos="284"/>
        </w:tabs>
        <w:ind w:left="-709" w:firstLine="709"/>
        <w:rPr>
          <w:sz w:val="16"/>
          <w:szCs w:val="16"/>
          <w:lang w:val="en-US"/>
        </w:rPr>
      </w:pPr>
      <w:r w:rsidRPr="00770BC8">
        <w:rPr>
          <w:sz w:val="16"/>
          <w:szCs w:val="16"/>
          <w:lang w:val="en-US"/>
        </w:rPr>
        <w:t>NOPAT = Profit attributable to shareholders of the parent</w:t>
      </w:r>
      <w:r>
        <w:rPr>
          <w:sz w:val="16"/>
          <w:szCs w:val="16"/>
          <w:lang w:val="en-US"/>
        </w:rPr>
        <w:t xml:space="preserve"> company</w:t>
      </w:r>
      <w:r w:rsidRPr="00770BC8">
        <w:rPr>
          <w:sz w:val="16"/>
          <w:szCs w:val="16"/>
          <w:lang w:val="en-US"/>
        </w:rPr>
        <w:t xml:space="preserve">, adjusted for discontinued business + interest expense × (1 </w:t>
      </w:r>
      <w:r>
        <w:rPr>
          <w:sz w:val="16"/>
          <w:szCs w:val="16"/>
          <w:lang w:val="en-US"/>
        </w:rPr>
        <w:t>–</w:t>
      </w:r>
      <w:r w:rsidRPr="00770BC8">
        <w:rPr>
          <w:sz w:val="16"/>
          <w:szCs w:val="16"/>
          <w:lang w:val="en-US"/>
        </w:rPr>
        <w:t xml:space="preserve"> </w:t>
      </w:r>
      <w:r>
        <w:rPr>
          <w:sz w:val="16"/>
          <w:szCs w:val="16"/>
          <w:lang w:val="en-US"/>
        </w:rPr>
        <w:t>rate of CIT</w:t>
      </w:r>
      <w:r w:rsidRPr="00770BC8">
        <w:rPr>
          <w:sz w:val="16"/>
          <w:szCs w:val="16"/>
          <w:lang w:val="en-US"/>
        </w:rPr>
        <w:t>)</w:t>
      </w:r>
    </w:p>
    <w:p w:rsidR="00D375AF" w:rsidRPr="00770BC8" w:rsidRDefault="00D375AF" w:rsidP="00627857">
      <w:pPr>
        <w:pStyle w:val="af3"/>
        <w:tabs>
          <w:tab w:val="left" w:pos="284"/>
        </w:tabs>
        <w:ind w:left="-709" w:firstLine="709"/>
        <w:rPr>
          <w:sz w:val="16"/>
          <w:szCs w:val="16"/>
          <w:lang w:val="en-US"/>
        </w:rPr>
      </w:pPr>
      <w:r w:rsidRPr="00770BC8">
        <w:rPr>
          <w:sz w:val="16"/>
          <w:szCs w:val="16"/>
          <w:lang w:val="en-US"/>
        </w:rPr>
        <w:t xml:space="preserve">ACE = Equity attributable to </w:t>
      </w:r>
      <w:r>
        <w:rPr>
          <w:sz w:val="16"/>
          <w:szCs w:val="16"/>
          <w:lang w:val="en-US"/>
        </w:rPr>
        <w:t xml:space="preserve"> </w:t>
      </w:r>
      <w:r w:rsidRPr="00770BC8">
        <w:rPr>
          <w:sz w:val="16"/>
          <w:szCs w:val="16"/>
          <w:lang w:val="en-US"/>
        </w:rPr>
        <w:t>shareholders of the parent</w:t>
      </w:r>
      <w:r>
        <w:rPr>
          <w:sz w:val="16"/>
          <w:szCs w:val="16"/>
          <w:lang w:val="en-US"/>
        </w:rPr>
        <w:t xml:space="preserve"> company</w:t>
      </w:r>
      <w:r w:rsidRPr="00770BC8">
        <w:rPr>
          <w:sz w:val="16"/>
          <w:szCs w:val="16"/>
          <w:lang w:val="en-US"/>
        </w:rPr>
        <w:t xml:space="preserve"> + all interest-bearing liabilities</w:t>
      </w:r>
    </w:p>
  </w:footnote>
  <w:footnote w:id="5">
    <w:p w:rsidR="00D375AF" w:rsidRPr="00770BC8" w:rsidRDefault="00D375AF" w:rsidP="00627857">
      <w:pPr>
        <w:pStyle w:val="af3"/>
        <w:tabs>
          <w:tab w:val="left" w:pos="284"/>
        </w:tabs>
        <w:ind w:left="-709" w:firstLine="709"/>
        <w:rPr>
          <w:sz w:val="16"/>
          <w:szCs w:val="16"/>
          <w:lang w:val="en-US"/>
        </w:rPr>
      </w:pPr>
      <w:r w:rsidRPr="00770BC8">
        <w:rPr>
          <w:rStyle w:val="af5"/>
          <w:sz w:val="16"/>
          <w:szCs w:val="16"/>
        </w:rPr>
        <w:footnoteRef/>
      </w:r>
      <w:r w:rsidRPr="00770BC8">
        <w:rPr>
          <w:sz w:val="16"/>
          <w:szCs w:val="16"/>
          <w:lang w:val="en-US"/>
        </w:rPr>
        <w:t xml:space="preserve"> ROA = Net income / Average assets for the year</w:t>
      </w:r>
    </w:p>
  </w:footnote>
  <w:footnote w:id="6">
    <w:p w:rsidR="00D375AF" w:rsidRPr="00770BC8" w:rsidRDefault="00D375AF" w:rsidP="00791A5C">
      <w:pPr>
        <w:pStyle w:val="af3"/>
        <w:rPr>
          <w:sz w:val="16"/>
          <w:szCs w:val="16"/>
          <w:lang w:val="en-US"/>
        </w:rPr>
      </w:pPr>
      <w:r w:rsidRPr="00770BC8">
        <w:rPr>
          <w:rStyle w:val="af5"/>
          <w:sz w:val="16"/>
          <w:szCs w:val="16"/>
        </w:rPr>
        <w:footnoteRef/>
      </w:r>
      <w:r w:rsidRPr="00770BC8">
        <w:rPr>
          <w:sz w:val="16"/>
          <w:szCs w:val="16"/>
          <w:lang w:val="en-US"/>
        </w:rPr>
        <w:t xml:space="preserve"> ROE = Net income / Average equity for the year</w:t>
      </w:r>
    </w:p>
  </w:footnote>
  <w:footnote w:id="7">
    <w:p w:rsidR="00D375AF" w:rsidRPr="00770BC8" w:rsidRDefault="00D375AF" w:rsidP="00770BC8">
      <w:pPr>
        <w:pStyle w:val="af3"/>
        <w:rPr>
          <w:sz w:val="16"/>
          <w:szCs w:val="16"/>
          <w:lang w:val="en-US"/>
        </w:rPr>
      </w:pPr>
      <w:r>
        <w:rPr>
          <w:rStyle w:val="af5"/>
        </w:rPr>
        <w:footnoteRef/>
      </w:r>
      <w:r w:rsidRPr="00154CB4">
        <w:rPr>
          <w:lang w:val="en-US"/>
        </w:rPr>
        <w:t xml:space="preserve"> </w:t>
      </w:r>
      <w:r>
        <w:rPr>
          <w:sz w:val="16"/>
          <w:szCs w:val="16"/>
          <w:lang w:val="en-US"/>
        </w:rPr>
        <w:t>Total revenue = (R</w:t>
      </w:r>
      <w:r w:rsidRPr="00770BC8">
        <w:rPr>
          <w:sz w:val="16"/>
          <w:szCs w:val="16"/>
          <w:lang w:val="en-US"/>
        </w:rPr>
        <w:t xml:space="preserve">evenue from sales and interest income + </w:t>
      </w:r>
      <w:r>
        <w:rPr>
          <w:sz w:val="16"/>
          <w:szCs w:val="16"/>
          <w:lang w:val="en-US"/>
        </w:rPr>
        <w:t xml:space="preserve">State </w:t>
      </w:r>
      <w:r w:rsidRPr="00770BC8">
        <w:rPr>
          <w:sz w:val="16"/>
          <w:szCs w:val="16"/>
          <w:lang w:val="en-US"/>
        </w:rPr>
        <w:t xml:space="preserve">subsidies + </w:t>
      </w:r>
      <w:r>
        <w:rPr>
          <w:sz w:val="16"/>
          <w:szCs w:val="16"/>
          <w:lang w:val="en-US"/>
        </w:rPr>
        <w:t>Restitution</w:t>
      </w:r>
      <w:r w:rsidRPr="00770BC8">
        <w:rPr>
          <w:sz w:val="16"/>
          <w:szCs w:val="16"/>
          <w:lang w:val="en-US"/>
        </w:rPr>
        <w:t xml:space="preserve"> of impairment of assets + Other operating income from banking activities + Other non-oper</w:t>
      </w:r>
      <w:r>
        <w:rPr>
          <w:sz w:val="16"/>
          <w:szCs w:val="16"/>
          <w:lang w:val="en-US"/>
        </w:rPr>
        <w:t>ating income + F</w:t>
      </w:r>
      <w:r w:rsidRPr="00770BC8">
        <w:rPr>
          <w:sz w:val="16"/>
          <w:szCs w:val="16"/>
          <w:lang w:val="en-US"/>
        </w:rPr>
        <w:t>inancial income + Income from foreign exchange</w:t>
      </w:r>
      <w:r>
        <w:rPr>
          <w:sz w:val="16"/>
          <w:szCs w:val="16"/>
          <w:lang w:val="en-US"/>
        </w:rPr>
        <w:t xml:space="preserve"> rate</w:t>
      </w:r>
      <w:r w:rsidRPr="00770BC8">
        <w:rPr>
          <w:sz w:val="16"/>
          <w:szCs w:val="16"/>
          <w:lang w:val="en-US"/>
        </w:rPr>
        <w:t>);</w:t>
      </w:r>
    </w:p>
    <w:p w:rsidR="00D375AF" w:rsidRPr="00770BC8" w:rsidRDefault="00D375AF" w:rsidP="00770BC8">
      <w:pPr>
        <w:pStyle w:val="af3"/>
        <w:rPr>
          <w:sz w:val="16"/>
          <w:szCs w:val="16"/>
          <w:lang w:val="en-US"/>
        </w:rPr>
      </w:pPr>
      <w:r w:rsidRPr="00770BC8">
        <w:rPr>
          <w:sz w:val="16"/>
          <w:szCs w:val="16"/>
          <w:lang w:val="en-US"/>
        </w:rPr>
        <w:t>Total cost = (</w:t>
      </w:r>
      <w:r>
        <w:rPr>
          <w:sz w:val="16"/>
          <w:szCs w:val="16"/>
          <w:lang w:val="en-US"/>
        </w:rPr>
        <w:t>C</w:t>
      </w:r>
      <w:r w:rsidRPr="00770BC8">
        <w:rPr>
          <w:sz w:val="16"/>
          <w:szCs w:val="16"/>
          <w:lang w:val="en-US"/>
        </w:rPr>
        <w:t>ost of sales and interest expense + General and administrative expenses + Shipping and the realization costs</w:t>
      </w:r>
      <w:r>
        <w:rPr>
          <w:sz w:val="16"/>
          <w:szCs w:val="16"/>
          <w:lang w:val="en-US"/>
        </w:rPr>
        <w:t xml:space="preserve"> </w:t>
      </w:r>
      <w:r w:rsidRPr="00770BC8">
        <w:rPr>
          <w:sz w:val="16"/>
          <w:szCs w:val="16"/>
          <w:lang w:val="en-US"/>
        </w:rPr>
        <w:t xml:space="preserve">+ </w:t>
      </w:r>
      <w:r>
        <w:rPr>
          <w:sz w:val="16"/>
          <w:szCs w:val="16"/>
          <w:lang w:val="en-US"/>
        </w:rPr>
        <w:t>L</w:t>
      </w:r>
      <w:r w:rsidRPr="00770BC8">
        <w:rPr>
          <w:sz w:val="16"/>
          <w:szCs w:val="16"/>
          <w:lang w:val="en-US"/>
        </w:rPr>
        <w:t>osses of impairment of assets + Other operating expenses from banking</w:t>
      </w:r>
      <w:r>
        <w:rPr>
          <w:sz w:val="16"/>
          <w:szCs w:val="16"/>
          <w:lang w:val="en-US"/>
        </w:rPr>
        <w:t xml:space="preserve"> activities</w:t>
      </w:r>
      <w:r w:rsidRPr="00770BC8">
        <w:rPr>
          <w:sz w:val="16"/>
          <w:szCs w:val="16"/>
          <w:lang w:val="en-US"/>
        </w:rPr>
        <w:t xml:space="preserve"> + Other non-operating costs + </w:t>
      </w:r>
      <w:r>
        <w:rPr>
          <w:sz w:val="16"/>
          <w:szCs w:val="16"/>
          <w:lang w:val="en-US"/>
        </w:rPr>
        <w:t>F</w:t>
      </w:r>
      <w:r w:rsidRPr="00770BC8">
        <w:rPr>
          <w:sz w:val="16"/>
          <w:szCs w:val="16"/>
          <w:lang w:val="en-US"/>
        </w:rPr>
        <w:t>inancial costs + Loss on foreign exchange</w:t>
      </w:r>
      <w:r>
        <w:rPr>
          <w:sz w:val="16"/>
          <w:szCs w:val="16"/>
          <w:lang w:val="en-US"/>
        </w:rPr>
        <w:t xml:space="preserve"> rate</w:t>
      </w:r>
      <w:r w:rsidRPr="00770BC8">
        <w:rPr>
          <w:sz w:val="16"/>
          <w:szCs w:val="16"/>
          <w:lang w:val="en-US"/>
        </w:rPr>
        <w:t>).</w:t>
      </w:r>
    </w:p>
  </w:footnote>
  <w:footnote w:id="8">
    <w:p w:rsidR="00D375AF" w:rsidRPr="009D1CDA" w:rsidRDefault="00D375AF" w:rsidP="009D1CDA">
      <w:pPr>
        <w:pStyle w:val="af3"/>
        <w:ind w:left="-709"/>
        <w:rPr>
          <w:sz w:val="16"/>
          <w:szCs w:val="16"/>
          <w:lang w:val="en-US"/>
        </w:rPr>
      </w:pPr>
      <w:r w:rsidRPr="00DD6B56">
        <w:rPr>
          <w:rStyle w:val="af5"/>
          <w:sz w:val="16"/>
          <w:szCs w:val="16"/>
        </w:rPr>
        <w:footnoteRef/>
      </w:r>
      <w:r w:rsidRPr="009D1CDA">
        <w:rPr>
          <w:sz w:val="16"/>
          <w:szCs w:val="16"/>
          <w:lang w:val="en-US"/>
        </w:rPr>
        <w:t xml:space="preserve"> </w:t>
      </w:r>
      <w:r>
        <w:rPr>
          <w:color w:val="000000"/>
          <w:sz w:val="18"/>
          <w:szCs w:val="18"/>
          <w:lang w:val="en-US"/>
        </w:rPr>
        <w:t>Capital</w:t>
      </w:r>
      <w:r w:rsidRPr="009D1CDA">
        <w:rPr>
          <w:color w:val="000000"/>
          <w:sz w:val="18"/>
          <w:szCs w:val="18"/>
          <w:lang w:val="en-US"/>
        </w:rPr>
        <w:t xml:space="preserve"> </w:t>
      </w:r>
      <w:r>
        <w:rPr>
          <w:color w:val="000000"/>
          <w:sz w:val="18"/>
          <w:szCs w:val="18"/>
          <w:lang w:val="en-US"/>
        </w:rPr>
        <w:t>t</w:t>
      </w:r>
      <w:r w:rsidRPr="009D1CDA">
        <w:rPr>
          <w:color w:val="000000"/>
          <w:sz w:val="18"/>
          <w:szCs w:val="18"/>
          <w:lang w:val="en-US"/>
        </w:rPr>
        <w:t xml:space="preserve">urnover </w:t>
      </w:r>
      <w:r>
        <w:rPr>
          <w:color w:val="000000"/>
          <w:sz w:val="18"/>
          <w:szCs w:val="18"/>
          <w:lang w:val="en-US"/>
        </w:rPr>
        <w:t>in</w:t>
      </w:r>
      <w:r w:rsidRPr="009D1CDA">
        <w:rPr>
          <w:color w:val="000000"/>
          <w:sz w:val="18"/>
          <w:szCs w:val="18"/>
          <w:lang w:val="en-US"/>
        </w:rPr>
        <w:t xml:space="preserve"> credit institutions</w:t>
      </w:r>
      <w:r w:rsidRPr="009D1CDA">
        <w:rPr>
          <w:rStyle w:val="af5"/>
          <w:color w:val="000000"/>
          <w:sz w:val="18"/>
          <w:szCs w:val="18"/>
          <w:vertAlign w:val="baseline"/>
          <w:lang w:val="en-US"/>
        </w:rPr>
        <w:t xml:space="preserve"> </w:t>
      </w:r>
      <w:r w:rsidRPr="009D1CDA">
        <w:rPr>
          <w:color w:val="000000"/>
          <w:sz w:val="16"/>
          <w:szCs w:val="16"/>
          <w:lang w:val="en-US"/>
        </w:rPr>
        <w:t>= Revenue fr</w:t>
      </w:r>
      <w:r>
        <w:rPr>
          <w:color w:val="000000"/>
          <w:sz w:val="16"/>
          <w:szCs w:val="16"/>
          <w:lang w:val="en-US"/>
        </w:rPr>
        <w:t>om sales and state</w:t>
      </w:r>
      <w:r w:rsidRPr="009D1CDA">
        <w:rPr>
          <w:color w:val="000000"/>
          <w:sz w:val="16"/>
          <w:szCs w:val="16"/>
          <w:lang w:val="en-US"/>
        </w:rPr>
        <w:t xml:space="preserve"> subsidies / ((funds from credi</w:t>
      </w:r>
      <w:r>
        <w:rPr>
          <w:color w:val="000000"/>
          <w:sz w:val="16"/>
          <w:szCs w:val="16"/>
          <w:lang w:val="en-US"/>
        </w:rPr>
        <w:t>t institutions at the beginning</w:t>
      </w:r>
      <w:r w:rsidRPr="009D1CDA">
        <w:rPr>
          <w:color w:val="000000"/>
          <w:sz w:val="16"/>
          <w:szCs w:val="16"/>
          <w:lang w:val="en-US"/>
        </w:rPr>
        <w:t xml:space="preserve"> + funds in</w:t>
      </w:r>
      <w:r>
        <w:rPr>
          <w:color w:val="000000"/>
          <w:sz w:val="16"/>
          <w:szCs w:val="16"/>
          <w:lang w:val="en-US"/>
        </w:rPr>
        <w:t xml:space="preserve"> credit institutions at the end</w:t>
      </w:r>
      <w:r w:rsidRPr="009D1CDA">
        <w:rPr>
          <w:color w:val="000000"/>
          <w:sz w:val="16"/>
          <w:szCs w:val="16"/>
          <w:lang w:val="en-US"/>
        </w:rPr>
        <w:t>)/2).</w:t>
      </w:r>
    </w:p>
  </w:footnote>
  <w:footnote w:id="9">
    <w:p w:rsidR="00D375AF" w:rsidRPr="004C29F9" w:rsidRDefault="00D375AF" w:rsidP="009D1CDA">
      <w:pPr>
        <w:pStyle w:val="af3"/>
        <w:ind w:left="-709"/>
        <w:rPr>
          <w:sz w:val="16"/>
          <w:szCs w:val="16"/>
          <w:lang w:val="en-US"/>
        </w:rPr>
      </w:pPr>
      <w:r w:rsidRPr="00DD6B56">
        <w:rPr>
          <w:rStyle w:val="af5"/>
          <w:sz w:val="16"/>
          <w:szCs w:val="16"/>
        </w:rPr>
        <w:footnoteRef/>
      </w:r>
      <w:r w:rsidRPr="004C29F9">
        <w:rPr>
          <w:sz w:val="16"/>
          <w:szCs w:val="16"/>
          <w:lang w:val="en-US"/>
        </w:rPr>
        <w:t xml:space="preserve"> </w:t>
      </w:r>
      <w:proofErr w:type="gramStart"/>
      <w:r w:rsidRPr="004C29F9">
        <w:rPr>
          <w:color w:val="000000"/>
          <w:sz w:val="18"/>
          <w:szCs w:val="18"/>
          <w:lang w:val="en-US"/>
        </w:rPr>
        <w:t>Trade  receivables</w:t>
      </w:r>
      <w:proofErr w:type="gramEnd"/>
      <w:r w:rsidRPr="004C29F9">
        <w:rPr>
          <w:color w:val="000000"/>
          <w:sz w:val="18"/>
          <w:szCs w:val="18"/>
          <w:lang w:val="en-US"/>
        </w:rPr>
        <w:t xml:space="preserve"> </w:t>
      </w:r>
      <w:r>
        <w:rPr>
          <w:color w:val="000000"/>
          <w:sz w:val="18"/>
          <w:szCs w:val="18"/>
          <w:lang w:val="en-US"/>
        </w:rPr>
        <w:t>turnover</w:t>
      </w:r>
      <w:r w:rsidRPr="004C29F9">
        <w:rPr>
          <w:rStyle w:val="af5"/>
          <w:color w:val="000000"/>
          <w:sz w:val="18"/>
          <w:szCs w:val="18"/>
          <w:vertAlign w:val="baseline"/>
          <w:lang w:val="en-US"/>
        </w:rPr>
        <w:t xml:space="preserve"> </w:t>
      </w:r>
      <w:r w:rsidRPr="004C29F9">
        <w:rPr>
          <w:color w:val="000000"/>
          <w:sz w:val="16"/>
          <w:szCs w:val="16"/>
          <w:lang w:val="en-US"/>
        </w:rPr>
        <w:t xml:space="preserve">= Revenue from sales and state subsidies / (trade receivables at the beginning of </w:t>
      </w:r>
      <w:r>
        <w:rPr>
          <w:color w:val="000000"/>
          <w:sz w:val="16"/>
          <w:szCs w:val="16"/>
          <w:lang w:val="en-US"/>
        </w:rPr>
        <w:t xml:space="preserve">a </w:t>
      </w:r>
      <w:r w:rsidRPr="004C29F9">
        <w:rPr>
          <w:color w:val="000000"/>
          <w:sz w:val="16"/>
          <w:szCs w:val="16"/>
          <w:lang w:val="en-US"/>
        </w:rPr>
        <w:t xml:space="preserve">period + trade receivables at end of </w:t>
      </w:r>
      <w:r>
        <w:rPr>
          <w:color w:val="000000"/>
          <w:sz w:val="16"/>
          <w:szCs w:val="16"/>
          <w:lang w:val="en-US"/>
        </w:rPr>
        <w:t xml:space="preserve">a </w:t>
      </w:r>
      <w:r w:rsidRPr="004C29F9">
        <w:rPr>
          <w:color w:val="000000"/>
          <w:sz w:val="16"/>
          <w:szCs w:val="16"/>
          <w:lang w:val="en-US"/>
        </w:rPr>
        <w:t>period)/2.</w:t>
      </w:r>
    </w:p>
  </w:footnote>
  <w:footnote w:id="10">
    <w:p w:rsidR="00D375AF" w:rsidRPr="004C29F9" w:rsidRDefault="00D375AF" w:rsidP="009D1CDA">
      <w:pPr>
        <w:pStyle w:val="af3"/>
        <w:ind w:left="-709"/>
        <w:rPr>
          <w:color w:val="000000"/>
          <w:sz w:val="16"/>
          <w:szCs w:val="16"/>
          <w:lang w:val="en-US"/>
        </w:rPr>
      </w:pPr>
      <w:r w:rsidRPr="00DD6B56">
        <w:rPr>
          <w:rStyle w:val="af5"/>
          <w:sz w:val="16"/>
          <w:szCs w:val="16"/>
        </w:rPr>
        <w:footnoteRef/>
      </w:r>
      <w:r w:rsidRPr="004C29F9">
        <w:rPr>
          <w:sz w:val="16"/>
          <w:szCs w:val="16"/>
          <w:lang w:val="en-US"/>
        </w:rPr>
        <w:t xml:space="preserve"> </w:t>
      </w:r>
      <w:r>
        <w:rPr>
          <w:color w:val="000000"/>
          <w:sz w:val="18"/>
          <w:szCs w:val="18"/>
          <w:lang w:val="en-US"/>
        </w:rPr>
        <w:t>Capital</w:t>
      </w:r>
      <w:r w:rsidRPr="004C29F9">
        <w:rPr>
          <w:color w:val="000000"/>
          <w:sz w:val="18"/>
          <w:szCs w:val="18"/>
          <w:lang w:val="en-US"/>
        </w:rPr>
        <w:t xml:space="preserve"> </w:t>
      </w:r>
      <w:r>
        <w:rPr>
          <w:color w:val="000000"/>
          <w:sz w:val="18"/>
          <w:szCs w:val="18"/>
          <w:lang w:val="en-US"/>
        </w:rPr>
        <w:t>turnover</w:t>
      </w:r>
      <w:r w:rsidRPr="004C29F9">
        <w:rPr>
          <w:rStyle w:val="af5"/>
          <w:color w:val="000000"/>
          <w:sz w:val="18"/>
          <w:szCs w:val="18"/>
          <w:vertAlign w:val="baseline"/>
          <w:lang w:val="en-US"/>
        </w:rPr>
        <w:t xml:space="preserve"> </w:t>
      </w:r>
      <w:r w:rsidRPr="004C29F9">
        <w:rPr>
          <w:color w:val="000000"/>
          <w:sz w:val="16"/>
          <w:szCs w:val="16"/>
          <w:lang w:val="en-US"/>
        </w:rPr>
        <w:t xml:space="preserve">= Revenue from sales and state subsidies / ((funds at the beginning of </w:t>
      </w:r>
      <w:r>
        <w:rPr>
          <w:color w:val="000000"/>
          <w:sz w:val="16"/>
          <w:szCs w:val="16"/>
          <w:lang w:val="en-US"/>
        </w:rPr>
        <w:t xml:space="preserve">a </w:t>
      </w:r>
      <w:r w:rsidRPr="004C29F9">
        <w:rPr>
          <w:color w:val="000000"/>
          <w:sz w:val="16"/>
          <w:szCs w:val="16"/>
          <w:lang w:val="en-US"/>
        </w:rPr>
        <w:t xml:space="preserve">period + cash at end of </w:t>
      </w:r>
      <w:r>
        <w:rPr>
          <w:color w:val="000000"/>
          <w:sz w:val="16"/>
          <w:szCs w:val="16"/>
          <w:lang w:val="en-US"/>
        </w:rPr>
        <w:t xml:space="preserve">a </w:t>
      </w:r>
      <w:r w:rsidRPr="004C29F9">
        <w:rPr>
          <w:color w:val="000000"/>
          <w:sz w:val="16"/>
          <w:szCs w:val="16"/>
          <w:lang w:val="en-US"/>
        </w:rPr>
        <w:t>period)/2).</w:t>
      </w:r>
    </w:p>
  </w:footnote>
  <w:footnote w:id="11">
    <w:p w:rsidR="00D375AF" w:rsidRPr="004C29F9" w:rsidRDefault="00D375AF" w:rsidP="009D1CDA">
      <w:pPr>
        <w:pStyle w:val="af3"/>
        <w:ind w:left="-709"/>
        <w:rPr>
          <w:lang w:val="en-US"/>
        </w:rPr>
      </w:pPr>
      <w:r>
        <w:rPr>
          <w:rStyle w:val="af5"/>
        </w:rPr>
        <w:footnoteRef/>
      </w:r>
      <w:r w:rsidRPr="004C29F9">
        <w:rPr>
          <w:lang w:val="en-US"/>
        </w:rPr>
        <w:t xml:space="preserve"> </w:t>
      </w:r>
      <w:r w:rsidRPr="004C29F9">
        <w:rPr>
          <w:color w:val="000000"/>
          <w:sz w:val="18"/>
          <w:szCs w:val="18"/>
          <w:lang w:val="en-US"/>
        </w:rPr>
        <w:t>Accounts payable turnover</w:t>
      </w:r>
      <w:r w:rsidRPr="004C29F9">
        <w:rPr>
          <w:rStyle w:val="af5"/>
          <w:color w:val="000000"/>
          <w:sz w:val="18"/>
          <w:szCs w:val="18"/>
          <w:vertAlign w:val="baseline"/>
          <w:lang w:val="en-US"/>
        </w:rPr>
        <w:t xml:space="preserve"> </w:t>
      </w:r>
      <w:r w:rsidRPr="004C29F9">
        <w:rPr>
          <w:color w:val="000000"/>
          <w:sz w:val="18"/>
          <w:szCs w:val="18"/>
          <w:lang w:val="en-US"/>
        </w:rPr>
        <w:t xml:space="preserve">= </w:t>
      </w:r>
      <w:r>
        <w:rPr>
          <w:color w:val="000000"/>
          <w:sz w:val="18"/>
          <w:szCs w:val="18"/>
          <w:lang w:val="en-US"/>
        </w:rPr>
        <w:t>Revenue from sales and state</w:t>
      </w:r>
      <w:r w:rsidRPr="004C29F9">
        <w:rPr>
          <w:color w:val="000000"/>
          <w:sz w:val="18"/>
          <w:szCs w:val="18"/>
          <w:lang w:val="en-US"/>
        </w:rPr>
        <w:t xml:space="preserve"> subsidies / (</w:t>
      </w:r>
      <w:r>
        <w:rPr>
          <w:color w:val="000000"/>
          <w:sz w:val="18"/>
          <w:szCs w:val="18"/>
          <w:lang w:val="en-US"/>
        </w:rPr>
        <w:t xml:space="preserve">accounts </w:t>
      </w:r>
      <w:r w:rsidRPr="004C29F9">
        <w:rPr>
          <w:color w:val="000000"/>
          <w:sz w:val="18"/>
          <w:szCs w:val="18"/>
          <w:lang w:val="en-US"/>
        </w:rPr>
        <w:t xml:space="preserve">payable at the beginning of </w:t>
      </w:r>
      <w:r>
        <w:rPr>
          <w:color w:val="000000"/>
          <w:sz w:val="18"/>
          <w:szCs w:val="18"/>
          <w:lang w:val="en-US"/>
        </w:rPr>
        <w:t xml:space="preserve">a </w:t>
      </w:r>
      <w:r w:rsidRPr="004C29F9">
        <w:rPr>
          <w:color w:val="000000"/>
          <w:sz w:val="18"/>
          <w:szCs w:val="18"/>
          <w:lang w:val="en-US"/>
        </w:rPr>
        <w:t>period</w:t>
      </w:r>
      <w:r>
        <w:rPr>
          <w:color w:val="000000"/>
          <w:sz w:val="18"/>
          <w:szCs w:val="18"/>
          <w:lang w:val="en-US"/>
        </w:rPr>
        <w:t xml:space="preserve"> + accounts payable at the </w:t>
      </w:r>
      <w:r w:rsidRPr="004C29F9">
        <w:rPr>
          <w:color w:val="000000"/>
          <w:sz w:val="18"/>
          <w:szCs w:val="18"/>
          <w:lang w:val="en-US"/>
        </w:rPr>
        <w:t xml:space="preserve">end of </w:t>
      </w:r>
      <w:r>
        <w:rPr>
          <w:color w:val="000000"/>
          <w:sz w:val="18"/>
          <w:szCs w:val="18"/>
          <w:lang w:val="en-US"/>
        </w:rPr>
        <w:t xml:space="preserve">a </w:t>
      </w:r>
      <w:r w:rsidRPr="004C29F9">
        <w:rPr>
          <w:color w:val="000000"/>
          <w:sz w:val="18"/>
          <w:szCs w:val="18"/>
          <w:lang w:val="en-US"/>
        </w:rPr>
        <w:t>period)/2.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9B"/>
    <w:multiLevelType w:val="hybridMultilevel"/>
    <w:tmpl w:val="C5D896FA"/>
    <w:lvl w:ilvl="0" w:tplc="106C7B2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243E6E"/>
    <w:multiLevelType w:val="hybridMultilevel"/>
    <w:tmpl w:val="A6F8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D1636"/>
    <w:multiLevelType w:val="hybridMultilevel"/>
    <w:tmpl w:val="4DF640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A14BF"/>
    <w:multiLevelType w:val="hybridMultilevel"/>
    <w:tmpl w:val="841A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A5967"/>
    <w:multiLevelType w:val="hybridMultilevel"/>
    <w:tmpl w:val="8DE6406E"/>
    <w:lvl w:ilvl="0" w:tplc="522CDB64">
      <w:start w:val="1"/>
      <w:numFmt w:val="upperRoman"/>
      <w:lvlText w:val="%1."/>
      <w:lvlJc w:val="left"/>
      <w:pPr>
        <w:ind w:left="1287" w:hanging="720"/>
      </w:pPr>
      <w:rPr>
        <w:rFonts w:hint="default"/>
      </w:rPr>
    </w:lvl>
    <w:lvl w:ilvl="1" w:tplc="2B7C7FEE">
      <w:start w:val="1"/>
      <w:numFmt w:val="decimal"/>
      <w:lvlText w:val="%2."/>
      <w:lvlJc w:val="left"/>
      <w:pPr>
        <w:ind w:left="1207" w:hanging="1065"/>
      </w:pPr>
      <w:rPr>
        <w:rFonts w:ascii="Times New Roman" w:hAnsi="Times New Roman" w:cs="Times New Roman" w:hint="default"/>
        <w:b/>
        <w:color w:val="auto"/>
        <w:sz w:val="22"/>
        <w:szCs w:val="22"/>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EF6781"/>
    <w:multiLevelType w:val="hybridMultilevel"/>
    <w:tmpl w:val="F4EE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D62EC"/>
    <w:multiLevelType w:val="hybridMultilevel"/>
    <w:tmpl w:val="1C426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0011F"/>
    <w:multiLevelType w:val="hybridMultilevel"/>
    <w:tmpl w:val="62A4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B3E87"/>
    <w:multiLevelType w:val="hybridMultilevel"/>
    <w:tmpl w:val="A48E5B7A"/>
    <w:lvl w:ilvl="0" w:tplc="F4AE3B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A030F6"/>
    <w:multiLevelType w:val="hybridMultilevel"/>
    <w:tmpl w:val="CE16D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80F12"/>
    <w:multiLevelType w:val="hybridMultilevel"/>
    <w:tmpl w:val="B1C44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037CCB"/>
    <w:multiLevelType w:val="hybridMultilevel"/>
    <w:tmpl w:val="FB208DD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072583"/>
    <w:multiLevelType w:val="hybridMultilevel"/>
    <w:tmpl w:val="A7A8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C525E5"/>
    <w:multiLevelType w:val="multilevel"/>
    <w:tmpl w:val="50982D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A0D7D36"/>
    <w:multiLevelType w:val="hybridMultilevel"/>
    <w:tmpl w:val="838629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A220D99"/>
    <w:multiLevelType w:val="hybridMultilevel"/>
    <w:tmpl w:val="C1903F58"/>
    <w:lvl w:ilvl="0" w:tplc="E3E2FA54">
      <w:start w:val="42"/>
      <w:numFmt w:val="decimal"/>
      <w:pStyle w:val="StyleStyle1Left003cm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EB18B6"/>
    <w:multiLevelType w:val="hybridMultilevel"/>
    <w:tmpl w:val="481A6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602B0"/>
    <w:multiLevelType w:val="hybridMultilevel"/>
    <w:tmpl w:val="AC084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E64CE3"/>
    <w:multiLevelType w:val="hybridMultilevel"/>
    <w:tmpl w:val="A9384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062491"/>
    <w:multiLevelType w:val="multilevel"/>
    <w:tmpl w:val="E978275A"/>
    <w:lvl w:ilvl="0">
      <w:start w:val="1"/>
      <w:numFmt w:val="upperRoman"/>
      <w:lvlText w:val="%1."/>
      <w:lvlJc w:val="righ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43402815"/>
    <w:multiLevelType w:val="hybridMultilevel"/>
    <w:tmpl w:val="B29C85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D4BF9"/>
    <w:multiLevelType w:val="multilevel"/>
    <w:tmpl w:val="A1F0FA76"/>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4BE36E1"/>
    <w:multiLevelType w:val="hybridMultilevel"/>
    <w:tmpl w:val="E25438A4"/>
    <w:lvl w:ilvl="0" w:tplc="996E9566">
      <w:start w:val="1"/>
      <w:numFmt w:val="decimal"/>
      <w:lvlText w:val="%1)"/>
      <w:lvlJc w:val="left"/>
      <w:pPr>
        <w:ind w:left="1305" w:hanging="9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CC5510"/>
    <w:multiLevelType w:val="hybridMultilevel"/>
    <w:tmpl w:val="29EA608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58CC6439"/>
    <w:multiLevelType w:val="hybridMultilevel"/>
    <w:tmpl w:val="59C65B0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BB8796F"/>
    <w:multiLevelType w:val="hybridMultilevel"/>
    <w:tmpl w:val="B7BA0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E5482"/>
    <w:multiLevelType w:val="hybridMultilevel"/>
    <w:tmpl w:val="809C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533DBC"/>
    <w:multiLevelType w:val="hybridMultilevel"/>
    <w:tmpl w:val="329AC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FF327B"/>
    <w:multiLevelType w:val="hybridMultilevel"/>
    <w:tmpl w:val="CF685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7C166B"/>
    <w:multiLevelType w:val="hybridMultilevel"/>
    <w:tmpl w:val="69ECF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386909"/>
    <w:multiLevelType w:val="hybridMultilevel"/>
    <w:tmpl w:val="964412D6"/>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103423"/>
    <w:multiLevelType w:val="hybridMultilevel"/>
    <w:tmpl w:val="B964ABCE"/>
    <w:lvl w:ilvl="0" w:tplc="C17AE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128DB"/>
    <w:multiLevelType w:val="hybridMultilevel"/>
    <w:tmpl w:val="0A6E5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AC2259"/>
    <w:multiLevelType w:val="hybridMultilevel"/>
    <w:tmpl w:val="CCB83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A8126A"/>
    <w:multiLevelType w:val="hybridMultilevel"/>
    <w:tmpl w:val="20C6CC5C"/>
    <w:lvl w:ilvl="0" w:tplc="04190001">
      <w:start w:val="1"/>
      <w:numFmt w:val="bullet"/>
      <w:lvlText w:val=""/>
      <w:lvlJc w:val="left"/>
      <w:pPr>
        <w:ind w:left="780" w:hanging="360"/>
      </w:pPr>
      <w:rPr>
        <w:rFonts w:ascii="Symbol" w:hAnsi="Symbol" w:hint="default"/>
      </w:rPr>
    </w:lvl>
    <w:lvl w:ilvl="1" w:tplc="845E8422">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7438681A"/>
    <w:multiLevelType w:val="hybridMultilevel"/>
    <w:tmpl w:val="EE52409E"/>
    <w:lvl w:ilvl="0" w:tplc="04190001">
      <w:start w:val="1"/>
      <w:numFmt w:val="bullet"/>
      <w:lvlText w:val=""/>
      <w:lvlJc w:val="left"/>
      <w:pPr>
        <w:tabs>
          <w:tab w:val="num" w:pos="1575"/>
        </w:tabs>
        <w:ind w:left="1575" w:hanging="360"/>
      </w:pPr>
      <w:rPr>
        <w:rFonts w:ascii="Symbol" w:hAnsi="Symbol" w:hint="default"/>
      </w:rPr>
    </w:lvl>
    <w:lvl w:ilvl="1" w:tplc="1812F450">
      <w:start w:val="1"/>
      <w:numFmt w:val="decimal"/>
      <w:lvlText w:val="%2)"/>
      <w:lvlJc w:val="left"/>
      <w:pPr>
        <w:tabs>
          <w:tab w:val="num" w:pos="2295"/>
        </w:tabs>
        <w:ind w:left="2295" w:hanging="360"/>
      </w:pPr>
      <w:rPr>
        <w:rFonts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36">
    <w:nsid w:val="74786054"/>
    <w:multiLevelType w:val="multilevel"/>
    <w:tmpl w:val="340E84AC"/>
    <w:lvl w:ilvl="0">
      <w:start w:val="1"/>
      <w:numFmt w:val="decimal"/>
      <w:pStyle w:val="StyleStyleHeading1AutoTimesNewRomanJustifiedBefore"/>
      <w:lvlText w:val="%1."/>
      <w:lvlJc w:val="left"/>
      <w:pPr>
        <w:tabs>
          <w:tab w:val="num" w:pos="567"/>
        </w:tabs>
        <w:ind w:left="567" w:hanging="567"/>
      </w:pPr>
      <w:rPr>
        <w:rFonts w:ascii="Times New Roman" w:hAnsi="Times New Roman" w:cs="Times New Roman" w:hint="default"/>
        <w:b/>
        <w:i w:val="0"/>
        <w:caps/>
        <w:sz w:val="20"/>
      </w:rPr>
    </w:lvl>
    <w:lvl w:ilvl="1">
      <w:start w:val="1"/>
      <w:numFmt w:val="decimal"/>
      <w:lvlText w:val="%1.%2."/>
      <w:lvlJc w:val="left"/>
      <w:pPr>
        <w:tabs>
          <w:tab w:val="num" w:pos="366"/>
        </w:tabs>
        <w:ind w:left="366" w:hanging="432"/>
      </w:pPr>
      <w:rPr>
        <w:rFonts w:hint="default"/>
      </w:rPr>
    </w:lvl>
    <w:lvl w:ilvl="2">
      <w:start w:val="1"/>
      <w:numFmt w:val="decimal"/>
      <w:lvlText w:val="%1.%2.%3."/>
      <w:lvlJc w:val="left"/>
      <w:pPr>
        <w:tabs>
          <w:tab w:val="num" w:pos="798"/>
        </w:tabs>
        <w:ind w:left="798" w:hanging="504"/>
      </w:pPr>
      <w:rPr>
        <w:rFonts w:hint="default"/>
      </w:rPr>
    </w:lvl>
    <w:lvl w:ilvl="3">
      <w:start w:val="1"/>
      <w:numFmt w:val="decimal"/>
      <w:lvlText w:val="%1.%2.%3.%4."/>
      <w:lvlJc w:val="left"/>
      <w:pPr>
        <w:tabs>
          <w:tab w:val="num" w:pos="1302"/>
        </w:tabs>
        <w:ind w:left="1302" w:hanging="648"/>
      </w:pPr>
      <w:rPr>
        <w:rFonts w:hint="default"/>
      </w:rPr>
    </w:lvl>
    <w:lvl w:ilvl="4">
      <w:start w:val="1"/>
      <w:numFmt w:val="decimal"/>
      <w:lvlText w:val="%1.%2.%3.%4.%5."/>
      <w:lvlJc w:val="left"/>
      <w:pPr>
        <w:tabs>
          <w:tab w:val="num" w:pos="1806"/>
        </w:tabs>
        <w:ind w:left="1806" w:hanging="792"/>
      </w:pPr>
      <w:rPr>
        <w:rFonts w:hint="default"/>
      </w:rPr>
    </w:lvl>
    <w:lvl w:ilvl="5">
      <w:start w:val="1"/>
      <w:numFmt w:val="decimal"/>
      <w:lvlText w:val="%1.%2.%3.%4.%5.%6."/>
      <w:lvlJc w:val="left"/>
      <w:pPr>
        <w:tabs>
          <w:tab w:val="num" w:pos="2310"/>
        </w:tabs>
        <w:ind w:left="2310" w:hanging="936"/>
      </w:pPr>
      <w:rPr>
        <w:rFonts w:hint="default"/>
      </w:rPr>
    </w:lvl>
    <w:lvl w:ilvl="6">
      <w:start w:val="1"/>
      <w:numFmt w:val="decimal"/>
      <w:lvlText w:val="%1.%2.%3.%4.%5.%6.%7."/>
      <w:lvlJc w:val="left"/>
      <w:pPr>
        <w:tabs>
          <w:tab w:val="num" w:pos="2814"/>
        </w:tabs>
        <w:ind w:left="2814" w:hanging="1080"/>
      </w:pPr>
      <w:rPr>
        <w:rFonts w:hint="default"/>
      </w:rPr>
    </w:lvl>
    <w:lvl w:ilvl="7">
      <w:start w:val="1"/>
      <w:numFmt w:val="decimal"/>
      <w:lvlText w:val="%1.%2.%3.%4.%5.%6.%7.%8."/>
      <w:lvlJc w:val="left"/>
      <w:pPr>
        <w:tabs>
          <w:tab w:val="num" w:pos="3318"/>
        </w:tabs>
        <w:ind w:left="3318" w:hanging="1224"/>
      </w:pPr>
      <w:rPr>
        <w:rFonts w:hint="default"/>
      </w:rPr>
    </w:lvl>
    <w:lvl w:ilvl="8">
      <w:start w:val="1"/>
      <w:numFmt w:val="decimal"/>
      <w:lvlText w:val="%1.%2.%3.%4.%5.%6.%7.%8.%9."/>
      <w:lvlJc w:val="left"/>
      <w:pPr>
        <w:tabs>
          <w:tab w:val="num" w:pos="3894"/>
        </w:tabs>
        <w:ind w:left="3894" w:hanging="1440"/>
      </w:pPr>
      <w:rPr>
        <w:rFonts w:hint="default"/>
      </w:rPr>
    </w:lvl>
  </w:abstractNum>
  <w:abstractNum w:abstractNumId="37">
    <w:nsid w:val="74E40F3B"/>
    <w:multiLevelType w:val="hybridMultilevel"/>
    <w:tmpl w:val="F2428B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A30418"/>
    <w:multiLevelType w:val="hybridMultilevel"/>
    <w:tmpl w:val="9C6EB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8305CD"/>
    <w:multiLevelType w:val="hybridMultilevel"/>
    <w:tmpl w:val="6AD8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E128D2"/>
    <w:multiLevelType w:val="hybridMultilevel"/>
    <w:tmpl w:val="43F2E8EA"/>
    <w:lvl w:ilvl="0" w:tplc="5824F41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9"/>
  </w:num>
  <w:num w:numId="5">
    <w:abstractNumId w:val="30"/>
  </w:num>
  <w:num w:numId="6">
    <w:abstractNumId w:val="34"/>
  </w:num>
  <w:num w:numId="7">
    <w:abstractNumId w:val="33"/>
  </w:num>
  <w:num w:numId="8">
    <w:abstractNumId w:val="15"/>
  </w:num>
  <w:num w:numId="9">
    <w:abstractNumId w:val="36"/>
  </w:num>
  <w:num w:numId="10">
    <w:abstractNumId w:val="3"/>
  </w:num>
  <w:num w:numId="11">
    <w:abstractNumId w:val="32"/>
  </w:num>
  <w:num w:numId="12">
    <w:abstractNumId w:val="35"/>
  </w:num>
  <w:num w:numId="13">
    <w:abstractNumId w:val="20"/>
  </w:num>
  <w:num w:numId="14">
    <w:abstractNumId w:val="17"/>
  </w:num>
  <w:num w:numId="15">
    <w:abstractNumId w:val="2"/>
  </w:num>
  <w:num w:numId="16">
    <w:abstractNumId w:val="19"/>
  </w:num>
  <w:num w:numId="17">
    <w:abstractNumId w:val="13"/>
  </w:num>
  <w:num w:numId="18">
    <w:abstractNumId w:val="6"/>
  </w:num>
  <w:num w:numId="19">
    <w:abstractNumId w:val="37"/>
  </w:num>
  <w:num w:numId="20">
    <w:abstractNumId w:val="16"/>
  </w:num>
  <w:num w:numId="21">
    <w:abstractNumId w:val="28"/>
  </w:num>
  <w:num w:numId="22">
    <w:abstractNumId w:val="26"/>
  </w:num>
  <w:num w:numId="23">
    <w:abstractNumId w:val="27"/>
  </w:num>
  <w:num w:numId="24">
    <w:abstractNumId w:val="8"/>
  </w:num>
  <w:num w:numId="25">
    <w:abstractNumId w:val="0"/>
  </w:num>
  <w:num w:numId="26">
    <w:abstractNumId w:val="39"/>
  </w:num>
  <w:num w:numId="27">
    <w:abstractNumId w:val="7"/>
  </w:num>
  <w:num w:numId="28">
    <w:abstractNumId w:val="9"/>
  </w:num>
  <w:num w:numId="29">
    <w:abstractNumId w:val="11"/>
  </w:num>
  <w:num w:numId="30">
    <w:abstractNumId w:val="18"/>
  </w:num>
  <w:num w:numId="31">
    <w:abstractNumId w:val="5"/>
  </w:num>
  <w:num w:numId="32">
    <w:abstractNumId w:val="24"/>
  </w:num>
  <w:num w:numId="33">
    <w:abstractNumId w:val="10"/>
  </w:num>
  <w:num w:numId="34">
    <w:abstractNumId w:val="1"/>
  </w:num>
  <w:num w:numId="35">
    <w:abstractNumId w:val="38"/>
  </w:num>
  <w:num w:numId="36">
    <w:abstractNumId w:val="40"/>
  </w:num>
  <w:num w:numId="37">
    <w:abstractNumId w:val="25"/>
  </w:num>
  <w:num w:numId="38">
    <w:abstractNumId w:val="21"/>
  </w:num>
  <w:num w:numId="39">
    <w:abstractNumId w:val="12"/>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E4"/>
    <w:rsid w:val="000004EB"/>
    <w:rsid w:val="00031611"/>
    <w:rsid w:val="00031D3F"/>
    <w:rsid w:val="000364C7"/>
    <w:rsid w:val="00042306"/>
    <w:rsid w:val="0005328C"/>
    <w:rsid w:val="00061E30"/>
    <w:rsid w:val="00067A3C"/>
    <w:rsid w:val="000820BB"/>
    <w:rsid w:val="00084B59"/>
    <w:rsid w:val="0009167A"/>
    <w:rsid w:val="0009485B"/>
    <w:rsid w:val="00096732"/>
    <w:rsid w:val="000A0C1D"/>
    <w:rsid w:val="000A43AE"/>
    <w:rsid w:val="000A5CA0"/>
    <w:rsid w:val="000B467C"/>
    <w:rsid w:val="000C00FB"/>
    <w:rsid w:val="000C33B7"/>
    <w:rsid w:val="000E2F90"/>
    <w:rsid w:val="000E789C"/>
    <w:rsid w:val="000F6D73"/>
    <w:rsid w:val="000F7DD7"/>
    <w:rsid w:val="001241B5"/>
    <w:rsid w:val="00130526"/>
    <w:rsid w:val="0015443F"/>
    <w:rsid w:val="00154CB4"/>
    <w:rsid w:val="001552F8"/>
    <w:rsid w:val="00157967"/>
    <w:rsid w:val="00160731"/>
    <w:rsid w:val="00163C23"/>
    <w:rsid w:val="00171C54"/>
    <w:rsid w:val="001806B3"/>
    <w:rsid w:val="001818D1"/>
    <w:rsid w:val="00182B09"/>
    <w:rsid w:val="00183C6F"/>
    <w:rsid w:val="00193E98"/>
    <w:rsid w:val="00196FBE"/>
    <w:rsid w:val="001B772A"/>
    <w:rsid w:val="001C40E9"/>
    <w:rsid w:val="001E194D"/>
    <w:rsid w:val="001E3A9A"/>
    <w:rsid w:val="001F4F8A"/>
    <w:rsid w:val="002105F8"/>
    <w:rsid w:val="0021170C"/>
    <w:rsid w:val="002122C7"/>
    <w:rsid w:val="002157BC"/>
    <w:rsid w:val="00223971"/>
    <w:rsid w:val="00223A6F"/>
    <w:rsid w:val="002241D8"/>
    <w:rsid w:val="00235BB0"/>
    <w:rsid w:val="00241991"/>
    <w:rsid w:val="00242246"/>
    <w:rsid w:val="00250BD4"/>
    <w:rsid w:val="0025193E"/>
    <w:rsid w:val="00251D0A"/>
    <w:rsid w:val="002525A7"/>
    <w:rsid w:val="0025710C"/>
    <w:rsid w:val="00261E43"/>
    <w:rsid w:val="00262AB3"/>
    <w:rsid w:val="002643DC"/>
    <w:rsid w:val="002664E4"/>
    <w:rsid w:val="00271E83"/>
    <w:rsid w:val="00277B77"/>
    <w:rsid w:val="002827F1"/>
    <w:rsid w:val="00287F7C"/>
    <w:rsid w:val="00290880"/>
    <w:rsid w:val="0029685A"/>
    <w:rsid w:val="002975AE"/>
    <w:rsid w:val="002A0E0D"/>
    <w:rsid w:val="002A603F"/>
    <w:rsid w:val="002A6EA8"/>
    <w:rsid w:val="002B08CD"/>
    <w:rsid w:val="002D1B97"/>
    <w:rsid w:val="002D6CC2"/>
    <w:rsid w:val="002D73DC"/>
    <w:rsid w:val="002E2257"/>
    <w:rsid w:val="002E2475"/>
    <w:rsid w:val="002E6550"/>
    <w:rsid w:val="002F61C2"/>
    <w:rsid w:val="00300106"/>
    <w:rsid w:val="0030309E"/>
    <w:rsid w:val="00307455"/>
    <w:rsid w:val="00314FD5"/>
    <w:rsid w:val="0032321A"/>
    <w:rsid w:val="0032417C"/>
    <w:rsid w:val="00327BD8"/>
    <w:rsid w:val="00334790"/>
    <w:rsid w:val="00342EBF"/>
    <w:rsid w:val="00344B3E"/>
    <w:rsid w:val="00345E81"/>
    <w:rsid w:val="00353DB4"/>
    <w:rsid w:val="0035613B"/>
    <w:rsid w:val="00360112"/>
    <w:rsid w:val="003633D6"/>
    <w:rsid w:val="00366DF7"/>
    <w:rsid w:val="0037038E"/>
    <w:rsid w:val="0037260A"/>
    <w:rsid w:val="00374941"/>
    <w:rsid w:val="00374FD0"/>
    <w:rsid w:val="00375D4C"/>
    <w:rsid w:val="0038271F"/>
    <w:rsid w:val="0038427F"/>
    <w:rsid w:val="003A0789"/>
    <w:rsid w:val="003A1285"/>
    <w:rsid w:val="003A12CC"/>
    <w:rsid w:val="003B297E"/>
    <w:rsid w:val="003B4A75"/>
    <w:rsid w:val="003C2920"/>
    <w:rsid w:val="003C626E"/>
    <w:rsid w:val="003D1843"/>
    <w:rsid w:val="003D24A7"/>
    <w:rsid w:val="003E3CD4"/>
    <w:rsid w:val="003E3FEF"/>
    <w:rsid w:val="003E4B66"/>
    <w:rsid w:val="003F1E92"/>
    <w:rsid w:val="003F39F0"/>
    <w:rsid w:val="003F3A2A"/>
    <w:rsid w:val="004035DC"/>
    <w:rsid w:val="00403DA9"/>
    <w:rsid w:val="004042E1"/>
    <w:rsid w:val="00424BC1"/>
    <w:rsid w:val="00430ED6"/>
    <w:rsid w:val="004329C5"/>
    <w:rsid w:val="0043342B"/>
    <w:rsid w:val="00433CC8"/>
    <w:rsid w:val="004439C1"/>
    <w:rsid w:val="00447805"/>
    <w:rsid w:val="00450BB0"/>
    <w:rsid w:val="0046391C"/>
    <w:rsid w:val="00476E76"/>
    <w:rsid w:val="004866B7"/>
    <w:rsid w:val="004878A3"/>
    <w:rsid w:val="00491B5B"/>
    <w:rsid w:val="004A12C0"/>
    <w:rsid w:val="004A453C"/>
    <w:rsid w:val="004B1B2E"/>
    <w:rsid w:val="004C24F0"/>
    <w:rsid w:val="004C29F9"/>
    <w:rsid w:val="004E10C1"/>
    <w:rsid w:val="004E4765"/>
    <w:rsid w:val="004E699E"/>
    <w:rsid w:val="004F067A"/>
    <w:rsid w:val="004F3EDE"/>
    <w:rsid w:val="004F6FE1"/>
    <w:rsid w:val="00504413"/>
    <w:rsid w:val="00507C3A"/>
    <w:rsid w:val="00517BA7"/>
    <w:rsid w:val="0053049D"/>
    <w:rsid w:val="00531CE9"/>
    <w:rsid w:val="0053329A"/>
    <w:rsid w:val="0053473C"/>
    <w:rsid w:val="00543086"/>
    <w:rsid w:val="00545004"/>
    <w:rsid w:val="005450BC"/>
    <w:rsid w:val="00556012"/>
    <w:rsid w:val="00564E2D"/>
    <w:rsid w:val="0056532A"/>
    <w:rsid w:val="0056697A"/>
    <w:rsid w:val="00567247"/>
    <w:rsid w:val="00570F06"/>
    <w:rsid w:val="00571AFD"/>
    <w:rsid w:val="00575C95"/>
    <w:rsid w:val="005814C4"/>
    <w:rsid w:val="005841C7"/>
    <w:rsid w:val="00584768"/>
    <w:rsid w:val="005910B7"/>
    <w:rsid w:val="005940A2"/>
    <w:rsid w:val="00594AC9"/>
    <w:rsid w:val="00594D07"/>
    <w:rsid w:val="005A24EC"/>
    <w:rsid w:val="005A62D0"/>
    <w:rsid w:val="005B1B03"/>
    <w:rsid w:val="005B3234"/>
    <w:rsid w:val="005C4856"/>
    <w:rsid w:val="005C494F"/>
    <w:rsid w:val="005C5363"/>
    <w:rsid w:val="005D69E0"/>
    <w:rsid w:val="005E0251"/>
    <w:rsid w:val="005F20BF"/>
    <w:rsid w:val="005F33E3"/>
    <w:rsid w:val="005F4C82"/>
    <w:rsid w:val="00603369"/>
    <w:rsid w:val="0060468E"/>
    <w:rsid w:val="00604B06"/>
    <w:rsid w:val="00611B73"/>
    <w:rsid w:val="006131A0"/>
    <w:rsid w:val="00614ABF"/>
    <w:rsid w:val="0061572C"/>
    <w:rsid w:val="00617070"/>
    <w:rsid w:val="00617673"/>
    <w:rsid w:val="00627857"/>
    <w:rsid w:val="00634B03"/>
    <w:rsid w:val="00637B87"/>
    <w:rsid w:val="00644243"/>
    <w:rsid w:val="00644642"/>
    <w:rsid w:val="00644E0D"/>
    <w:rsid w:val="00657F77"/>
    <w:rsid w:val="00663F5A"/>
    <w:rsid w:val="00670B74"/>
    <w:rsid w:val="00681E70"/>
    <w:rsid w:val="00685AC0"/>
    <w:rsid w:val="00690381"/>
    <w:rsid w:val="00691990"/>
    <w:rsid w:val="006A2611"/>
    <w:rsid w:val="006A3EE4"/>
    <w:rsid w:val="006A6EB0"/>
    <w:rsid w:val="006B61CA"/>
    <w:rsid w:val="006B6EE3"/>
    <w:rsid w:val="006C11A8"/>
    <w:rsid w:val="006D44BE"/>
    <w:rsid w:val="006E38AC"/>
    <w:rsid w:val="006F207E"/>
    <w:rsid w:val="006F6585"/>
    <w:rsid w:val="00700F2E"/>
    <w:rsid w:val="00712EDA"/>
    <w:rsid w:val="00717954"/>
    <w:rsid w:val="007230B3"/>
    <w:rsid w:val="00725A39"/>
    <w:rsid w:val="00727D7A"/>
    <w:rsid w:val="007348E3"/>
    <w:rsid w:val="007410C6"/>
    <w:rsid w:val="00745AD7"/>
    <w:rsid w:val="00746F3D"/>
    <w:rsid w:val="00756CEE"/>
    <w:rsid w:val="00757671"/>
    <w:rsid w:val="007627EC"/>
    <w:rsid w:val="00767CEF"/>
    <w:rsid w:val="00770BC8"/>
    <w:rsid w:val="00771D7E"/>
    <w:rsid w:val="0077204C"/>
    <w:rsid w:val="0077319B"/>
    <w:rsid w:val="00773677"/>
    <w:rsid w:val="007851BF"/>
    <w:rsid w:val="00791A5C"/>
    <w:rsid w:val="007A4A32"/>
    <w:rsid w:val="007B14F2"/>
    <w:rsid w:val="007B37D3"/>
    <w:rsid w:val="007B3EF3"/>
    <w:rsid w:val="007B5FF7"/>
    <w:rsid w:val="007B7715"/>
    <w:rsid w:val="007C1DA7"/>
    <w:rsid w:val="007C6DED"/>
    <w:rsid w:val="007D1182"/>
    <w:rsid w:val="007E2C19"/>
    <w:rsid w:val="007E6AC5"/>
    <w:rsid w:val="007F138B"/>
    <w:rsid w:val="007F2EE5"/>
    <w:rsid w:val="008043D8"/>
    <w:rsid w:val="0080596B"/>
    <w:rsid w:val="00812F7C"/>
    <w:rsid w:val="008132D3"/>
    <w:rsid w:val="00816A2B"/>
    <w:rsid w:val="00825FCA"/>
    <w:rsid w:val="008262AB"/>
    <w:rsid w:val="00846164"/>
    <w:rsid w:val="00854678"/>
    <w:rsid w:val="00862DAA"/>
    <w:rsid w:val="00864505"/>
    <w:rsid w:val="008661D3"/>
    <w:rsid w:val="0087415C"/>
    <w:rsid w:val="00886D27"/>
    <w:rsid w:val="008915A2"/>
    <w:rsid w:val="008949D0"/>
    <w:rsid w:val="00896592"/>
    <w:rsid w:val="008A1146"/>
    <w:rsid w:val="008A1168"/>
    <w:rsid w:val="008A2127"/>
    <w:rsid w:val="008A3E29"/>
    <w:rsid w:val="008B015D"/>
    <w:rsid w:val="008B2523"/>
    <w:rsid w:val="008B5321"/>
    <w:rsid w:val="008C131A"/>
    <w:rsid w:val="008D1949"/>
    <w:rsid w:val="008E09EC"/>
    <w:rsid w:val="008E13FF"/>
    <w:rsid w:val="008E5CE6"/>
    <w:rsid w:val="009051F9"/>
    <w:rsid w:val="00911765"/>
    <w:rsid w:val="00917B63"/>
    <w:rsid w:val="00926B40"/>
    <w:rsid w:val="00927830"/>
    <w:rsid w:val="00932B9B"/>
    <w:rsid w:val="009371EB"/>
    <w:rsid w:val="00953640"/>
    <w:rsid w:val="00957653"/>
    <w:rsid w:val="00957E4E"/>
    <w:rsid w:val="00965748"/>
    <w:rsid w:val="00972A2F"/>
    <w:rsid w:val="00994B17"/>
    <w:rsid w:val="009A3F7B"/>
    <w:rsid w:val="009A5E0C"/>
    <w:rsid w:val="009B214D"/>
    <w:rsid w:val="009B4E26"/>
    <w:rsid w:val="009D1CDA"/>
    <w:rsid w:val="009D3F10"/>
    <w:rsid w:val="009D5C48"/>
    <w:rsid w:val="009E0DDC"/>
    <w:rsid w:val="009E449A"/>
    <w:rsid w:val="009E6737"/>
    <w:rsid w:val="009E6BC2"/>
    <w:rsid w:val="009F0E44"/>
    <w:rsid w:val="009F1974"/>
    <w:rsid w:val="00A01C4C"/>
    <w:rsid w:val="00A125F4"/>
    <w:rsid w:val="00A14A3D"/>
    <w:rsid w:val="00A20E13"/>
    <w:rsid w:val="00A30A7D"/>
    <w:rsid w:val="00A372D9"/>
    <w:rsid w:val="00A41C72"/>
    <w:rsid w:val="00A41CEA"/>
    <w:rsid w:val="00A42A13"/>
    <w:rsid w:val="00A4597C"/>
    <w:rsid w:val="00A470F0"/>
    <w:rsid w:val="00A47183"/>
    <w:rsid w:val="00A47EE9"/>
    <w:rsid w:val="00A50B98"/>
    <w:rsid w:val="00A614DF"/>
    <w:rsid w:val="00A7588C"/>
    <w:rsid w:val="00A81F67"/>
    <w:rsid w:val="00A86CCE"/>
    <w:rsid w:val="00A91D78"/>
    <w:rsid w:val="00A92092"/>
    <w:rsid w:val="00A939CC"/>
    <w:rsid w:val="00A973D8"/>
    <w:rsid w:val="00A9791A"/>
    <w:rsid w:val="00AA50DC"/>
    <w:rsid w:val="00AA61F4"/>
    <w:rsid w:val="00AB01AB"/>
    <w:rsid w:val="00AC6810"/>
    <w:rsid w:val="00AD2D29"/>
    <w:rsid w:val="00AD57E0"/>
    <w:rsid w:val="00AE738B"/>
    <w:rsid w:val="00AF1A8A"/>
    <w:rsid w:val="00AF47B9"/>
    <w:rsid w:val="00AF6193"/>
    <w:rsid w:val="00B033C6"/>
    <w:rsid w:val="00B25CA1"/>
    <w:rsid w:val="00B33B39"/>
    <w:rsid w:val="00B41829"/>
    <w:rsid w:val="00B45048"/>
    <w:rsid w:val="00B52615"/>
    <w:rsid w:val="00B5391C"/>
    <w:rsid w:val="00B53A2C"/>
    <w:rsid w:val="00B571DA"/>
    <w:rsid w:val="00B5727B"/>
    <w:rsid w:val="00B64CB5"/>
    <w:rsid w:val="00B6632B"/>
    <w:rsid w:val="00B71AFF"/>
    <w:rsid w:val="00B71D18"/>
    <w:rsid w:val="00B83E58"/>
    <w:rsid w:val="00B840E1"/>
    <w:rsid w:val="00B84F8F"/>
    <w:rsid w:val="00B87520"/>
    <w:rsid w:val="00B87FE0"/>
    <w:rsid w:val="00B94F10"/>
    <w:rsid w:val="00B95B38"/>
    <w:rsid w:val="00BA1ECB"/>
    <w:rsid w:val="00BB3C65"/>
    <w:rsid w:val="00BB5F75"/>
    <w:rsid w:val="00BD0DEC"/>
    <w:rsid w:val="00BF33CA"/>
    <w:rsid w:val="00C00A47"/>
    <w:rsid w:val="00C10D68"/>
    <w:rsid w:val="00C12B11"/>
    <w:rsid w:val="00C16C9B"/>
    <w:rsid w:val="00C22584"/>
    <w:rsid w:val="00C24DD6"/>
    <w:rsid w:val="00C318D3"/>
    <w:rsid w:val="00C32D76"/>
    <w:rsid w:val="00C36920"/>
    <w:rsid w:val="00C457DC"/>
    <w:rsid w:val="00C664C6"/>
    <w:rsid w:val="00C7468E"/>
    <w:rsid w:val="00C7561E"/>
    <w:rsid w:val="00C83D0D"/>
    <w:rsid w:val="00C9328C"/>
    <w:rsid w:val="00CA2386"/>
    <w:rsid w:val="00CA6BFD"/>
    <w:rsid w:val="00CA744D"/>
    <w:rsid w:val="00CB19E6"/>
    <w:rsid w:val="00CB5500"/>
    <w:rsid w:val="00CC1977"/>
    <w:rsid w:val="00CC41E1"/>
    <w:rsid w:val="00CD084C"/>
    <w:rsid w:val="00CD35F2"/>
    <w:rsid w:val="00CD6A66"/>
    <w:rsid w:val="00CE34F2"/>
    <w:rsid w:val="00CE48FD"/>
    <w:rsid w:val="00CE4AD9"/>
    <w:rsid w:val="00CF5769"/>
    <w:rsid w:val="00CF6F55"/>
    <w:rsid w:val="00D00758"/>
    <w:rsid w:val="00D01934"/>
    <w:rsid w:val="00D04101"/>
    <w:rsid w:val="00D129B6"/>
    <w:rsid w:val="00D135B1"/>
    <w:rsid w:val="00D218AD"/>
    <w:rsid w:val="00D21DDB"/>
    <w:rsid w:val="00D3025F"/>
    <w:rsid w:val="00D3190F"/>
    <w:rsid w:val="00D3471A"/>
    <w:rsid w:val="00D35579"/>
    <w:rsid w:val="00D375AF"/>
    <w:rsid w:val="00D53BF8"/>
    <w:rsid w:val="00D56922"/>
    <w:rsid w:val="00D60B30"/>
    <w:rsid w:val="00D60DC9"/>
    <w:rsid w:val="00D739E9"/>
    <w:rsid w:val="00DA3E22"/>
    <w:rsid w:val="00DB7AB5"/>
    <w:rsid w:val="00DC02A0"/>
    <w:rsid w:val="00DD2CCD"/>
    <w:rsid w:val="00DE4DE3"/>
    <w:rsid w:val="00DF125B"/>
    <w:rsid w:val="00DF1DA4"/>
    <w:rsid w:val="00DF51F7"/>
    <w:rsid w:val="00E00001"/>
    <w:rsid w:val="00E05FB0"/>
    <w:rsid w:val="00E11873"/>
    <w:rsid w:val="00E1377E"/>
    <w:rsid w:val="00E36B27"/>
    <w:rsid w:val="00E41063"/>
    <w:rsid w:val="00E44683"/>
    <w:rsid w:val="00E47AB5"/>
    <w:rsid w:val="00E513A1"/>
    <w:rsid w:val="00E54C3F"/>
    <w:rsid w:val="00E654B9"/>
    <w:rsid w:val="00E76E76"/>
    <w:rsid w:val="00E8259E"/>
    <w:rsid w:val="00E83280"/>
    <w:rsid w:val="00E83AA8"/>
    <w:rsid w:val="00E846B2"/>
    <w:rsid w:val="00E84BFB"/>
    <w:rsid w:val="00E908D0"/>
    <w:rsid w:val="00E91148"/>
    <w:rsid w:val="00E924A2"/>
    <w:rsid w:val="00EA19A7"/>
    <w:rsid w:val="00EA4BDF"/>
    <w:rsid w:val="00EB4F66"/>
    <w:rsid w:val="00EB5FD2"/>
    <w:rsid w:val="00EB68DA"/>
    <w:rsid w:val="00EB76C1"/>
    <w:rsid w:val="00EC415E"/>
    <w:rsid w:val="00ED2D78"/>
    <w:rsid w:val="00ED5536"/>
    <w:rsid w:val="00EE0FAD"/>
    <w:rsid w:val="00EF2F67"/>
    <w:rsid w:val="00F11A4A"/>
    <w:rsid w:val="00F2019A"/>
    <w:rsid w:val="00F42C75"/>
    <w:rsid w:val="00F42F9C"/>
    <w:rsid w:val="00F43A59"/>
    <w:rsid w:val="00F55A93"/>
    <w:rsid w:val="00F572FC"/>
    <w:rsid w:val="00F64C18"/>
    <w:rsid w:val="00F67969"/>
    <w:rsid w:val="00F67C5E"/>
    <w:rsid w:val="00F72C6E"/>
    <w:rsid w:val="00F73977"/>
    <w:rsid w:val="00F77A26"/>
    <w:rsid w:val="00F9089F"/>
    <w:rsid w:val="00F93073"/>
    <w:rsid w:val="00FA178C"/>
    <w:rsid w:val="00FB1C53"/>
    <w:rsid w:val="00FB2A69"/>
    <w:rsid w:val="00FB3CA1"/>
    <w:rsid w:val="00FB6196"/>
    <w:rsid w:val="00FB7312"/>
    <w:rsid w:val="00FD3A9E"/>
    <w:rsid w:val="00FD62DA"/>
    <w:rsid w:val="00FD7A52"/>
    <w:rsid w:val="00FE3440"/>
    <w:rsid w:val="00FE41B0"/>
    <w:rsid w:val="00FE7F16"/>
    <w:rsid w:val="00FF3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64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664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4E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664E4"/>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2664E4"/>
    <w:pPr>
      <w:ind w:left="720"/>
      <w:contextualSpacing/>
    </w:pPr>
  </w:style>
  <w:style w:type="paragraph" w:styleId="a4">
    <w:name w:val="No Spacing"/>
    <w:uiPriority w:val="1"/>
    <w:qFormat/>
    <w:rsid w:val="002664E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2664E4"/>
  </w:style>
  <w:style w:type="character" w:customStyle="1" w:styleId="a5">
    <w:name w:val="Верхний колонтитул Знак"/>
    <w:basedOn w:val="a0"/>
    <w:link w:val="a6"/>
    <w:uiPriority w:val="99"/>
    <w:rsid w:val="002664E4"/>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2664E4"/>
    <w:pPr>
      <w:tabs>
        <w:tab w:val="center" w:pos="4677"/>
        <w:tab w:val="right" w:pos="9355"/>
      </w:tabs>
    </w:pPr>
  </w:style>
  <w:style w:type="character" w:customStyle="1" w:styleId="11">
    <w:name w:val="Верхний колонтитул Знак1"/>
    <w:basedOn w:val="a0"/>
    <w:uiPriority w:val="99"/>
    <w:semiHidden/>
    <w:rsid w:val="002664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664E4"/>
    <w:pPr>
      <w:tabs>
        <w:tab w:val="center" w:pos="4677"/>
        <w:tab w:val="right" w:pos="9355"/>
      </w:tabs>
    </w:pPr>
  </w:style>
  <w:style w:type="character" w:customStyle="1" w:styleId="a8">
    <w:name w:val="Нижний колонтитул Знак"/>
    <w:basedOn w:val="a0"/>
    <w:link w:val="a7"/>
    <w:uiPriority w:val="99"/>
    <w:rsid w:val="002664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4E4"/>
  </w:style>
  <w:style w:type="paragraph" w:customStyle="1" w:styleId="rtejustify">
    <w:name w:val="rtejustify"/>
    <w:basedOn w:val="a"/>
    <w:rsid w:val="002664E4"/>
    <w:pPr>
      <w:spacing w:before="100" w:beforeAutospacing="1" w:after="100" w:afterAutospacing="1"/>
    </w:pPr>
  </w:style>
  <w:style w:type="paragraph" w:styleId="a9">
    <w:name w:val="Normal (Web)"/>
    <w:basedOn w:val="a"/>
    <w:uiPriority w:val="99"/>
    <w:unhideWhenUsed/>
    <w:rsid w:val="002664E4"/>
    <w:pPr>
      <w:spacing w:before="100" w:beforeAutospacing="1" w:after="100" w:afterAutospacing="1"/>
    </w:pPr>
    <w:rPr>
      <w:rFonts w:ascii="Verdana" w:hAnsi="Verdana"/>
      <w:color w:val="626161"/>
      <w:sz w:val="17"/>
      <w:szCs w:val="17"/>
    </w:rPr>
  </w:style>
  <w:style w:type="paragraph" w:styleId="aa">
    <w:name w:val="Balloon Text"/>
    <w:basedOn w:val="a"/>
    <w:link w:val="ab"/>
    <w:uiPriority w:val="99"/>
    <w:semiHidden/>
    <w:unhideWhenUsed/>
    <w:rsid w:val="002664E4"/>
    <w:rPr>
      <w:rFonts w:ascii="Tahoma" w:hAnsi="Tahoma" w:cs="Tahoma"/>
      <w:sz w:val="16"/>
      <w:szCs w:val="16"/>
    </w:rPr>
  </w:style>
  <w:style w:type="character" w:customStyle="1" w:styleId="ab">
    <w:name w:val="Текст выноски Знак"/>
    <w:basedOn w:val="a0"/>
    <w:link w:val="aa"/>
    <w:uiPriority w:val="99"/>
    <w:semiHidden/>
    <w:rsid w:val="002664E4"/>
    <w:rPr>
      <w:rFonts w:ascii="Tahoma" w:eastAsia="Times New Roman" w:hAnsi="Tahoma" w:cs="Tahoma"/>
      <w:sz w:val="16"/>
      <w:szCs w:val="16"/>
      <w:lang w:eastAsia="ru-RU"/>
    </w:rPr>
  </w:style>
  <w:style w:type="paragraph" w:styleId="ac">
    <w:name w:val="Body Text"/>
    <w:aliases w:val="body text,bt, Знак, Знак Знак Знак, Знак Знак,Знак,Знак Знак Знак,Знак Знак,Осно...,Знак + Before:  10 pt,After:  6 pt,Line spacing:  Exactly 11 pt,b,Знак Знак1, Знак Знак Знак Знак, Знак Знак Знак1,Знак Знак Знак Знак"/>
    <w:basedOn w:val="a"/>
    <w:link w:val="ad"/>
    <w:qFormat/>
    <w:rsid w:val="002664E4"/>
    <w:pPr>
      <w:widowControl w:val="0"/>
      <w:overflowPunct w:val="0"/>
      <w:autoSpaceDE w:val="0"/>
      <w:autoSpaceDN w:val="0"/>
      <w:adjustRightInd w:val="0"/>
      <w:spacing w:before="120" w:after="120" w:line="240" w:lineRule="atLeast"/>
      <w:jc w:val="both"/>
      <w:textAlignment w:val="baseline"/>
    </w:pPr>
    <w:rPr>
      <w:sz w:val="20"/>
      <w:szCs w:val="20"/>
      <w:lang w:val="en-US" w:eastAsia="en-US"/>
    </w:rPr>
  </w:style>
  <w:style w:type="character" w:customStyle="1" w:styleId="ad">
    <w:name w:val="Основной текст Знак"/>
    <w:aliases w:val="body text Знак,bt Знак, Знак Знак1, Знак Знак Знак Знак1, Знак Знак Знак2,Знак Знак2,Знак Знак Знак Знак1,Знак Знак Знак1,Осно... Знак,Знак + Before:  10 pt Знак,After:  6 pt Знак,Line spacing:  Exactly 11 pt Знак,b Знак"/>
    <w:basedOn w:val="a0"/>
    <w:link w:val="ac"/>
    <w:rsid w:val="002664E4"/>
    <w:rPr>
      <w:rFonts w:ascii="Times New Roman" w:eastAsia="Times New Roman" w:hAnsi="Times New Roman" w:cs="Times New Roman"/>
      <w:sz w:val="20"/>
      <w:szCs w:val="20"/>
      <w:lang w:val="en-US"/>
    </w:rPr>
  </w:style>
  <w:style w:type="paragraph" w:customStyle="1" w:styleId="StyleHeading1Auto">
    <w:name w:val="Style Heading 1 + Auto"/>
    <w:basedOn w:val="1"/>
    <w:link w:val="StyleHeading1AutoCharChar"/>
    <w:rsid w:val="002664E4"/>
    <w:pPr>
      <w:keepLines w:val="0"/>
      <w:widowControl w:val="0"/>
      <w:tabs>
        <w:tab w:val="left" w:pos="567"/>
      </w:tabs>
      <w:adjustRightInd w:val="0"/>
      <w:spacing w:before="240" w:line="360" w:lineRule="atLeast"/>
      <w:jc w:val="both"/>
      <w:textAlignment w:val="baseline"/>
    </w:pPr>
    <w:rPr>
      <w:rFonts w:ascii="Times New Roman Bold" w:eastAsia="Times New Roman" w:hAnsi="Times New Roman Bold" w:cs="Times New Roman"/>
      <w:caps/>
      <w:sz w:val="20"/>
      <w:szCs w:val="20"/>
      <w:lang w:val="en-US"/>
    </w:rPr>
  </w:style>
  <w:style w:type="character" w:customStyle="1" w:styleId="StyleHeading1AutoCharChar">
    <w:name w:val="Style Heading 1 + Auto Char Char"/>
    <w:basedOn w:val="10"/>
    <w:link w:val="StyleHeading1Auto"/>
    <w:rsid w:val="002664E4"/>
    <w:rPr>
      <w:rFonts w:ascii="Times New Roman Bold" w:eastAsia="Times New Roman" w:hAnsi="Times New Roman Bold" w:cs="Times New Roman"/>
      <w:b/>
      <w:bCs/>
      <w:caps/>
      <w:color w:val="365F91" w:themeColor="accent1" w:themeShade="BF"/>
      <w:sz w:val="20"/>
      <w:szCs w:val="20"/>
      <w:lang w:val="en-US" w:eastAsia="ru-RU"/>
    </w:rPr>
  </w:style>
  <w:style w:type="paragraph" w:customStyle="1" w:styleId="StyleStyle1Left003cm1">
    <w:name w:val="Style Style1 + Left:  0.03 cm1"/>
    <w:basedOn w:val="a"/>
    <w:rsid w:val="002664E4"/>
    <w:pPr>
      <w:widowControl w:val="0"/>
      <w:numPr>
        <w:numId w:val="8"/>
      </w:numPr>
      <w:tabs>
        <w:tab w:val="clear" w:pos="720"/>
      </w:tabs>
      <w:autoSpaceDE w:val="0"/>
      <w:autoSpaceDN w:val="0"/>
      <w:spacing w:before="120" w:after="120"/>
      <w:ind w:left="17" w:firstLine="0"/>
      <w:jc w:val="both"/>
    </w:pPr>
    <w:rPr>
      <w:sz w:val="20"/>
      <w:szCs w:val="20"/>
      <w:lang w:val="en-US" w:eastAsia="en-US"/>
    </w:rPr>
  </w:style>
  <w:style w:type="paragraph" w:customStyle="1" w:styleId="StyleStyleStyle1Left003cm1Left0cmAfter0pt">
    <w:name w:val="Style Style Style1 + Left:  0.03 cm1 + Left:  0 cm After:  0 pt"/>
    <w:basedOn w:val="StyleStyle1Left003cm1"/>
    <w:rsid w:val="002664E4"/>
  </w:style>
  <w:style w:type="paragraph" w:customStyle="1" w:styleId="StyleStyleHeading1AutoTimesNewRomanJustifiedBefore">
    <w:name w:val="Style Style Heading 1 + Auto + Times New Roman Justified Before: ..."/>
    <w:basedOn w:val="StyleHeading1Auto"/>
    <w:rsid w:val="002664E4"/>
    <w:pPr>
      <w:numPr>
        <w:numId w:val="9"/>
      </w:numPr>
      <w:tabs>
        <w:tab w:val="left" w:pos="567"/>
      </w:tabs>
      <w:ind w:left="0" w:firstLine="0"/>
    </w:pPr>
  </w:style>
  <w:style w:type="paragraph" w:customStyle="1" w:styleId="StyleStyleHeading22numberedindent2ni2h2Hanging2IndentHeader">
    <w:name w:val="Style Style Heading 22numbered indent 2ni2h2Hanging 2 IndentHeader ..."/>
    <w:basedOn w:val="a"/>
    <w:link w:val="StyleStyleHeading22numberedindent2ni2h2Hanging2IndentHeaderChar"/>
    <w:rsid w:val="002664E4"/>
    <w:pPr>
      <w:keepNext/>
      <w:widowControl w:val="0"/>
      <w:tabs>
        <w:tab w:val="left" w:pos="540"/>
      </w:tabs>
      <w:adjustRightInd w:val="0"/>
      <w:spacing w:before="240" w:line="360" w:lineRule="atLeast"/>
      <w:jc w:val="both"/>
      <w:textAlignment w:val="baseline"/>
      <w:outlineLvl w:val="1"/>
    </w:pPr>
    <w:rPr>
      <w:b/>
      <w:bCs/>
      <w:sz w:val="20"/>
      <w:szCs w:val="20"/>
      <w:lang w:val="en-GB" w:eastAsia="en-US"/>
    </w:rPr>
  </w:style>
  <w:style w:type="character" w:customStyle="1" w:styleId="StyleStyleHeading22numberedindent2ni2h2Hanging2IndentHeaderChar">
    <w:name w:val="Style Style Heading 22numbered indent 2ni2h2Hanging 2 IndentHeader ... Char"/>
    <w:basedOn w:val="a0"/>
    <w:link w:val="StyleStyleHeading22numberedindent2ni2h2Hanging2IndentHeader"/>
    <w:rsid w:val="002664E4"/>
    <w:rPr>
      <w:rFonts w:ascii="Times New Roman" w:eastAsia="Times New Roman" w:hAnsi="Times New Roman" w:cs="Times New Roman"/>
      <w:b/>
      <w:bCs/>
      <w:sz w:val="20"/>
      <w:szCs w:val="20"/>
      <w:lang w:val="en-GB"/>
    </w:rPr>
  </w:style>
  <w:style w:type="paragraph" w:customStyle="1" w:styleId="Style10ptJustifiedBefore6pt">
    <w:name w:val="Style 10 pt Justified Before:  6 pt"/>
    <w:basedOn w:val="a"/>
    <w:link w:val="Style10ptJustifiedBefore6ptChar"/>
    <w:rsid w:val="002664E4"/>
    <w:pPr>
      <w:widowControl w:val="0"/>
      <w:adjustRightInd w:val="0"/>
      <w:spacing w:before="120" w:line="360" w:lineRule="atLeast"/>
      <w:jc w:val="both"/>
      <w:textAlignment w:val="baseline"/>
    </w:pPr>
    <w:rPr>
      <w:sz w:val="20"/>
      <w:szCs w:val="20"/>
      <w:lang w:val="en-US" w:eastAsia="en-US"/>
    </w:rPr>
  </w:style>
  <w:style w:type="character" w:customStyle="1" w:styleId="Style10ptJustifiedBefore6ptChar">
    <w:name w:val="Style 10 pt Justified Before:  6 pt Char"/>
    <w:link w:val="Style10ptJustifiedBefore6pt"/>
    <w:rsid w:val="002664E4"/>
    <w:rPr>
      <w:rFonts w:ascii="Times New Roman" w:eastAsia="Times New Roman" w:hAnsi="Times New Roman" w:cs="Times New Roman"/>
      <w:sz w:val="20"/>
      <w:szCs w:val="20"/>
      <w:lang w:val="en-US"/>
    </w:rPr>
  </w:style>
  <w:style w:type="character" w:customStyle="1" w:styleId="ae">
    <w:name w:val="Текст примечания Знак"/>
    <w:link w:val="af"/>
    <w:semiHidden/>
    <w:locked/>
    <w:rsid w:val="002664E4"/>
    <w:rPr>
      <w:rFonts w:ascii="MS Mincho" w:eastAsia="MS Mincho"/>
      <w:lang w:val="en-US"/>
    </w:rPr>
  </w:style>
  <w:style w:type="paragraph" w:styleId="af">
    <w:name w:val="annotation text"/>
    <w:basedOn w:val="a"/>
    <w:link w:val="ae"/>
    <w:semiHidden/>
    <w:rsid w:val="002664E4"/>
    <w:pPr>
      <w:widowControl w:val="0"/>
      <w:adjustRightInd w:val="0"/>
      <w:spacing w:line="360" w:lineRule="atLeast"/>
      <w:jc w:val="both"/>
      <w:textAlignment w:val="baseline"/>
    </w:pPr>
    <w:rPr>
      <w:rFonts w:ascii="MS Mincho" w:eastAsia="MS Mincho" w:hAnsiTheme="minorHAnsi" w:cstheme="minorBidi"/>
      <w:sz w:val="22"/>
      <w:szCs w:val="22"/>
      <w:lang w:val="en-US" w:eastAsia="en-US"/>
    </w:rPr>
  </w:style>
  <w:style w:type="character" w:customStyle="1" w:styleId="12">
    <w:name w:val="Текст примечания Знак1"/>
    <w:basedOn w:val="a0"/>
    <w:uiPriority w:val="99"/>
    <w:semiHidden/>
    <w:rsid w:val="002664E4"/>
    <w:rPr>
      <w:rFonts w:ascii="Times New Roman" w:eastAsia="Times New Roman" w:hAnsi="Times New Roman" w:cs="Times New Roman"/>
      <w:sz w:val="20"/>
      <w:szCs w:val="20"/>
      <w:lang w:eastAsia="ru-RU"/>
    </w:rPr>
  </w:style>
  <w:style w:type="paragraph" w:styleId="af0">
    <w:name w:val="Normal Indent"/>
    <w:basedOn w:val="a"/>
    <w:uiPriority w:val="99"/>
    <w:unhideWhenUsed/>
    <w:rsid w:val="002664E4"/>
    <w:pPr>
      <w:spacing w:before="100" w:beforeAutospacing="1" w:after="100" w:afterAutospacing="1"/>
    </w:pPr>
    <w:rPr>
      <w:rFonts w:eastAsia="Calibri"/>
      <w:lang w:val="en-GB" w:eastAsia="en-GB"/>
    </w:rPr>
  </w:style>
  <w:style w:type="paragraph" w:customStyle="1" w:styleId="af1">
    <w:name w:val="Глава"/>
    <w:basedOn w:val="a"/>
    <w:link w:val="af2"/>
    <w:uiPriority w:val="99"/>
    <w:rsid w:val="002664E4"/>
    <w:rPr>
      <w:rFonts w:ascii="Arial" w:hAnsi="Arial"/>
      <w:b/>
      <w:sz w:val="28"/>
      <w:szCs w:val="28"/>
    </w:rPr>
  </w:style>
  <w:style w:type="character" w:customStyle="1" w:styleId="af2">
    <w:name w:val="Глава Знак"/>
    <w:link w:val="af1"/>
    <w:uiPriority w:val="99"/>
    <w:rsid w:val="002664E4"/>
    <w:rPr>
      <w:rFonts w:ascii="Arial" w:eastAsia="Times New Roman" w:hAnsi="Arial" w:cs="Times New Roman"/>
      <w:b/>
      <w:sz w:val="28"/>
      <w:szCs w:val="28"/>
      <w:lang w:eastAsia="ru-RU"/>
    </w:rPr>
  </w:style>
  <w:style w:type="paragraph" w:styleId="af3">
    <w:name w:val="footnote text"/>
    <w:basedOn w:val="a"/>
    <w:link w:val="af4"/>
    <w:uiPriority w:val="99"/>
    <w:semiHidden/>
    <w:unhideWhenUsed/>
    <w:rsid w:val="002664E4"/>
    <w:rPr>
      <w:sz w:val="20"/>
      <w:szCs w:val="20"/>
    </w:rPr>
  </w:style>
  <w:style w:type="character" w:customStyle="1" w:styleId="af4">
    <w:name w:val="Текст сноски Знак"/>
    <w:basedOn w:val="a0"/>
    <w:link w:val="af3"/>
    <w:uiPriority w:val="99"/>
    <w:semiHidden/>
    <w:rsid w:val="002664E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2664E4"/>
    <w:rPr>
      <w:vertAlign w:val="superscript"/>
    </w:rPr>
  </w:style>
  <w:style w:type="paragraph" w:customStyle="1" w:styleId="Style12">
    <w:name w:val="Style12"/>
    <w:basedOn w:val="a"/>
    <w:uiPriority w:val="99"/>
    <w:rsid w:val="002664E4"/>
    <w:pPr>
      <w:widowControl w:val="0"/>
      <w:autoSpaceDE w:val="0"/>
      <w:autoSpaceDN w:val="0"/>
      <w:adjustRightInd w:val="0"/>
      <w:spacing w:line="276" w:lineRule="exact"/>
      <w:ind w:firstLine="562"/>
      <w:jc w:val="both"/>
    </w:pPr>
    <w:rPr>
      <w:rFonts w:eastAsiaTheme="minorEastAsia"/>
    </w:rPr>
  </w:style>
  <w:style w:type="paragraph" w:customStyle="1" w:styleId="Style16">
    <w:name w:val="Style16"/>
    <w:basedOn w:val="a"/>
    <w:uiPriority w:val="99"/>
    <w:rsid w:val="002664E4"/>
    <w:pPr>
      <w:widowControl w:val="0"/>
      <w:autoSpaceDE w:val="0"/>
      <w:autoSpaceDN w:val="0"/>
      <w:adjustRightInd w:val="0"/>
    </w:pPr>
    <w:rPr>
      <w:rFonts w:eastAsiaTheme="minorEastAsia"/>
    </w:rPr>
  </w:style>
  <w:style w:type="character" w:customStyle="1" w:styleId="FontStyle73">
    <w:name w:val="Font Style73"/>
    <w:basedOn w:val="a0"/>
    <w:uiPriority w:val="99"/>
    <w:rsid w:val="002664E4"/>
    <w:rPr>
      <w:rFonts w:ascii="Times New Roman" w:hAnsi="Times New Roman" w:cs="Times New Roman"/>
      <w:color w:val="000000"/>
      <w:sz w:val="18"/>
      <w:szCs w:val="18"/>
    </w:rPr>
  </w:style>
  <w:style w:type="character" w:customStyle="1" w:styleId="FontStyle75">
    <w:name w:val="Font Style75"/>
    <w:basedOn w:val="a0"/>
    <w:uiPriority w:val="99"/>
    <w:rsid w:val="002664E4"/>
    <w:rPr>
      <w:rFonts w:ascii="Times New Roman" w:hAnsi="Times New Roman" w:cs="Times New Roman"/>
      <w:color w:val="000000"/>
      <w:sz w:val="22"/>
      <w:szCs w:val="22"/>
    </w:rPr>
  </w:style>
  <w:style w:type="character" w:customStyle="1" w:styleId="s0">
    <w:name w:val="s0"/>
    <w:basedOn w:val="a0"/>
    <w:rsid w:val="002664E4"/>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Style9">
    <w:name w:val="Style9"/>
    <w:basedOn w:val="a"/>
    <w:uiPriority w:val="99"/>
    <w:rsid w:val="002664E4"/>
    <w:pPr>
      <w:widowControl w:val="0"/>
      <w:autoSpaceDE w:val="0"/>
      <w:autoSpaceDN w:val="0"/>
      <w:adjustRightInd w:val="0"/>
      <w:spacing w:line="274" w:lineRule="exact"/>
      <w:jc w:val="both"/>
    </w:pPr>
    <w:rPr>
      <w:rFonts w:eastAsiaTheme="minorEastAsia"/>
    </w:rPr>
  </w:style>
  <w:style w:type="paragraph" w:customStyle="1" w:styleId="Style17">
    <w:name w:val="Style17"/>
    <w:basedOn w:val="a"/>
    <w:uiPriority w:val="99"/>
    <w:rsid w:val="002664E4"/>
    <w:pPr>
      <w:widowControl w:val="0"/>
      <w:autoSpaceDE w:val="0"/>
      <w:autoSpaceDN w:val="0"/>
      <w:adjustRightInd w:val="0"/>
      <w:spacing w:line="277" w:lineRule="exact"/>
      <w:jc w:val="both"/>
    </w:pPr>
    <w:rPr>
      <w:rFonts w:eastAsiaTheme="minorEastAsia"/>
    </w:rPr>
  </w:style>
  <w:style w:type="paragraph" w:customStyle="1" w:styleId="Style20">
    <w:name w:val="Style20"/>
    <w:basedOn w:val="a"/>
    <w:uiPriority w:val="99"/>
    <w:rsid w:val="002664E4"/>
    <w:pPr>
      <w:widowControl w:val="0"/>
      <w:autoSpaceDE w:val="0"/>
      <w:autoSpaceDN w:val="0"/>
      <w:adjustRightInd w:val="0"/>
    </w:pPr>
    <w:rPr>
      <w:rFonts w:eastAsiaTheme="minorEastAsia"/>
    </w:rPr>
  </w:style>
  <w:style w:type="paragraph" w:customStyle="1" w:styleId="Style28">
    <w:name w:val="Style28"/>
    <w:basedOn w:val="a"/>
    <w:uiPriority w:val="99"/>
    <w:rsid w:val="002664E4"/>
    <w:pPr>
      <w:widowControl w:val="0"/>
      <w:autoSpaceDE w:val="0"/>
      <w:autoSpaceDN w:val="0"/>
      <w:adjustRightInd w:val="0"/>
    </w:pPr>
    <w:rPr>
      <w:rFonts w:eastAsiaTheme="minorEastAsia"/>
    </w:rPr>
  </w:style>
  <w:style w:type="paragraph" w:customStyle="1" w:styleId="Style31">
    <w:name w:val="Style31"/>
    <w:basedOn w:val="a"/>
    <w:uiPriority w:val="99"/>
    <w:rsid w:val="002664E4"/>
    <w:pPr>
      <w:widowControl w:val="0"/>
      <w:autoSpaceDE w:val="0"/>
      <w:autoSpaceDN w:val="0"/>
      <w:adjustRightInd w:val="0"/>
      <w:spacing w:line="230" w:lineRule="exact"/>
      <w:ind w:firstLine="154"/>
    </w:pPr>
    <w:rPr>
      <w:rFonts w:eastAsiaTheme="minorEastAsia"/>
    </w:rPr>
  </w:style>
  <w:style w:type="paragraph" w:customStyle="1" w:styleId="Style32">
    <w:name w:val="Style32"/>
    <w:basedOn w:val="a"/>
    <w:uiPriority w:val="99"/>
    <w:rsid w:val="002664E4"/>
    <w:pPr>
      <w:widowControl w:val="0"/>
      <w:autoSpaceDE w:val="0"/>
      <w:autoSpaceDN w:val="0"/>
      <w:adjustRightInd w:val="0"/>
      <w:spacing w:line="230" w:lineRule="exact"/>
      <w:jc w:val="both"/>
    </w:pPr>
    <w:rPr>
      <w:rFonts w:eastAsiaTheme="minorEastAsia"/>
    </w:rPr>
  </w:style>
  <w:style w:type="character" w:customStyle="1" w:styleId="FontStyle67">
    <w:name w:val="Font Style67"/>
    <w:basedOn w:val="a0"/>
    <w:uiPriority w:val="99"/>
    <w:rsid w:val="002664E4"/>
    <w:rPr>
      <w:rFonts w:ascii="Times New Roman" w:hAnsi="Times New Roman" w:cs="Times New Roman"/>
      <w:b/>
      <w:bCs/>
      <w:color w:val="000000"/>
      <w:sz w:val="18"/>
      <w:szCs w:val="18"/>
    </w:rPr>
  </w:style>
  <w:style w:type="paragraph" w:customStyle="1" w:styleId="Style24">
    <w:name w:val="Style24"/>
    <w:basedOn w:val="a"/>
    <w:uiPriority w:val="99"/>
    <w:rsid w:val="002664E4"/>
    <w:pPr>
      <w:widowControl w:val="0"/>
      <w:autoSpaceDE w:val="0"/>
      <w:autoSpaceDN w:val="0"/>
      <w:adjustRightInd w:val="0"/>
    </w:pPr>
    <w:rPr>
      <w:rFonts w:eastAsiaTheme="minorEastAsia"/>
    </w:rPr>
  </w:style>
  <w:style w:type="character" w:customStyle="1" w:styleId="FontStyle57">
    <w:name w:val="Font Style57"/>
    <w:basedOn w:val="a0"/>
    <w:uiPriority w:val="99"/>
    <w:rsid w:val="002664E4"/>
    <w:rPr>
      <w:rFonts w:ascii="Times New Roman" w:hAnsi="Times New Roman" w:cs="Times New Roman"/>
      <w:i/>
      <w:iCs/>
      <w:color w:val="000000"/>
      <w:sz w:val="18"/>
      <w:szCs w:val="18"/>
    </w:rPr>
  </w:style>
  <w:style w:type="paragraph" w:customStyle="1" w:styleId="Style25">
    <w:name w:val="Style25"/>
    <w:basedOn w:val="a"/>
    <w:uiPriority w:val="99"/>
    <w:rsid w:val="002664E4"/>
    <w:pPr>
      <w:widowControl w:val="0"/>
      <w:autoSpaceDE w:val="0"/>
      <w:autoSpaceDN w:val="0"/>
      <w:adjustRightInd w:val="0"/>
    </w:pPr>
    <w:rPr>
      <w:rFonts w:eastAsiaTheme="minorEastAsia"/>
    </w:rPr>
  </w:style>
  <w:style w:type="paragraph" w:customStyle="1" w:styleId="Style2">
    <w:name w:val="Style2"/>
    <w:basedOn w:val="a"/>
    <w:uiPriority w:val="99"/>
    <w:rsid w:val="002664E4"/>
    <w:pPr>
      <w:widowControl w:val="0"/>
      <w:autoSpaceDE w:val="0"/>
      <w:autoSpaceDN w:val="0"/>
      <w:adjustRightInd w:val="0"/>
      <w:spacing w:line="274" w:lineRule="exact"/>
      <w:jc w:val="center"/>
    </w:pPr>
    <w:rPr>
      <w:rFonts w:eastAsiaTheme="minorEastAsia"/>
    </w:rPr>
  </w:style>
  <w:style w:type="paragraph" w:customStyle="1" w:styleId="Style15">
    <w:name w:val="Style15"/>
    <w:basedOn w:val="a"/>
    <w:uiPriority w:val="99"/>
    <w:rsid w:val="002664E4"/>
    <w:pPr>
      <w:widowControl w:val="0"/>
      <w:autoSpaceDE w:val="0"/>
      <w:autoSpaceDN w:val="0"/>
      <w:adjustRightInd w:val="0"/>
    </w:pPr>
    <w:rPr>
      <w:rFonts w:eastAsiaTheme="minorEastAsia"/>
    </w:rPr>
  </w:style>
  <w:style w:type="paragraph" w:customStyle="1" w:styleId="Style21">
    <w:name w:val="Style21"/>
    <w:basedOn w:val="a"/>
    <w:uiPriority w:val="99"/>
    <w:rsid w:val="002664E4"/>
    <w:pPr>
      <w:widowControl w:val="0"/>
      <w:autoSpaceDE w:val="0"/>
      <w:autoSpaceDN w:val="0"/>
      <w:adjustRightInd w:val="0"/>
      <w:spacing w:line="274" w:lineRule="exact"/>
      <w:ind w:firstLine="566"/>
    </w:pPr>
    <w:rPr>
      <w:rFonts w:eastAsiaTheme="minorEastAsia"/>
    </w:rPr>
  </w:style>
  <w:style w:type="paragraph" w:customStyle="1" w:styleId="Style47">
    <w:name w:val="Style47"/>
    <w:basedOn w:val="a"/>
    <w:uiPriority w:val="99"/>
    <w:rsid w:val="002664E4"/>
    <w:pPr>
      <w:widowControl w:val="0"/>
      <w:autoSpaceDE w:val="0"/>
      <w:autoSpaceDN w:val="0"/>
      <w:adjustRightInd w:val="0"/>
      <w:spacing w:line="274" w:lineRule="exact"/>
      <w:ind w:firstLine="562"/>
      <w:jc w:val="both"/>
    </w:pPr>
    <w:rPr>
      <w:rFonts w:eastAsiaTheme="minorEastAsia"/>
    </w:rPr>
  </w:style>
  <w:style w:type="character" w:customStyle="1" w:styleId="FontStyle71">
    <w:name w:val="Font Style71"/>
    <w:basedOn w:val="a0"/>
    <w:uiPriority w:val="99"/>
    <w:rsid w:val="002664E4"/>
    <w:rPr>
      <w:rFonts w:ascii="Times New Roman" w:hAnsi="Times New Roman" w:cs="Times New Roman"/>
      <w:color w:val="000000"/>
      <w:sz w:val="18"/>
      <w:szCs w:val="18"/>
    </w:rPr>
  </w:style>
  <w:style w:type="paragraph" w:customStyle="1" w:styleId="norma">
    <w:name w:val="norma"/>
    <w:basedOn w:val="a"/>
    <w:link w:val="normaChar"/>
    <w:rsid w:val="002664E4"/>
    <w:pPr>
      <w:widowControl w:val="0"/>
      <w:overflowPunct w:val="0"/>
      <w:autoSpaceDE w:val="0"/>
      <w:autoSpaceDN w:val="0"/>
      <w:adjustRightInd w:val="0"/>
      <w:spacing w:line="360" w:lineRule="atLeast"/>
      <w:jc w:val="both"/>
      <w:textAlignment w:val="baseline"/>
    </w:pPr>
    <w:rPr>
      <w:rFonts w:ascii="Arial" w:hAnsi="Arial" w:cs="Arial"/>
      <w:b/>
      <w:bCs/>
      <w:i/>
      <w:iCs/>
      <w:sz w:val="18"/>
      <w:szCs w:val="20"/>
      <w:lang w:val="en-GB" w:eastAsia="en-US"/>
    </w:rPr>
  </w:style>
  <w:style w:type="character" w:customStyle="1" w:styleId="normaChar">
    <w:name w:val="norma Char"/>
    <w:link w:val="norma"/>
    <w:rsid w:val="002664E4"/>
    <w:rPr>
      <w:rFonts w:ascii="Arial" w:eastAsia="Times New Roman" w:hAnsi="Arial" w:cs="Arial"/>
      <w:b/>
      <w:bCs/>
      <w:i/>
      <w:iCs/>
      <w:sz w:val="18"/>
      <w:szCs w:val="20"/>
      <w:lang w:val="en-GB"/>
    </w:rPr>
  </w:style>
  <w:style w:type="paragraph" w:customStyle="1" w:styleId="Heading1N">
    <w:name w:val="Heading 1 N"/>
    <w:basedOn w:val="3"/>
    <w:rsid w:val="002664E4"/>
    <w:pPr>
      <w:keepNext w:val="0"/>
      <w:keepLines w:val="0"/>
      <w:tabs>
        <w:tab w:val="num" w:pos="0"/>
      </w:tabs>
      <w:overflowPunct w:val="0"/>
      <w:autoSpaceDE w:val="0"/>
      <w:autoSpaceDN w:val="0"/>
      <w:adjustRightInd w:val="0"/>
      <w:spacing w:before="240"/>
      <w:ind w:left="360" w:hanging="360"/>
      <w:jc w:val="both"/>
      <w:textAlignment w:val="baseline"/>
    </w:pPr>
    <w:rPr>
      <w:rFonts w:ascii="Palatino Linotype" w:eastAsia="Times New Roman" w:hAnsi="Palatino Linotype" w:cs="Times New Roman"/>
      <w:color w:val="auto"/>
      <w:sz w:val="22"/>
      <w:szCs w:val="22"/>
      <w:lang w:val="en-GB" w:eastAsia="en-US"/>
    </w:rPr>
  </w:style>
  <w:style w:type="character" w:styleId="af6">
    <w:name w:val="FollowedHyperlink"/>
    <w:basedOn w:val="a0"/>
    <w:uiPriority w:val="99"/>
    <w:semiHidden/>
    <w:unhideWhenUsed/>
    <w:rsid w:val="002664E4"/>
    <w:rPr>
      <w:color w:val="800080" w:themeColor="followedHyperlink"/>
      <w:u w:val="single"/>
    </w:rPr>
  </w:style>
  <w:style w:type="character" w:customStyle="1" w:styleId="hps">
    <w:name w:val="hps"/>
    <w:basedOn w:val="a0"/>
    <w:rsid w:val="002664E4"/>
  </w:style>
  <w:style w:type="character" w:customStyle="1" w:styleId="atn">
    <w:name w:val="atn"/>
    <w:basedOn w:val="a0"/>
    <w:rsid w:val="002664E4"/>
  </w:style>
  <w:style w:type="table" w:styleId="af7">
    <w:name w:val="Table Grid"/>
    <w:basedOn w:val="a1"/>
    <w:uiPriority w:val="99"/>
    <w:rsid w:val="002664E4"/>
    <w:pPr>
      <w:spacing w:after="0" w:line="240" w:lineRule="auto"/>
      <w:ind w:left="2058"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semiHidden/>
    <w:rsid w:val="002664E4"/>
    <w:rPr>
      <w:sz w:val="16"/>
      <w:szCs w:val="16"/>
    </w:rPr>
  </w:style>
  <w:style w:type="character" w:styleId="af9">
    <w:name w:val="Emphasis"/>
    <w:basedOn w:val="a0"/>
    <w:uiPriority w:val="20"/>
    <w:qFormat/>
    <w:rsid w:val="002664E4"/>
    <w:rPr>
      <w:i/>
      <w:iCs/>
    </w:rPr>
  </w:style>
  <w:style w:type="paragraph" w:styleId="afa">
    <w:name w:val="endnote text"/>
    <w:basedOn w:val="a"/>
    <w:link w:val="afb"/>
    <w:uiPriority w:val="99"/>
    <w:semiHidden/>
    <w:unhideWhenUsed/>
    <w:rsid w:val="00AC6810"/>
    <w:rPr>
      <w:sz w:val="20"/>
      <w:szCs w:val="20"/>
    </w:rPr>
  </w:style>
  <w:style w:type="character" w:customStyle="1" w:styleId="afb">
    <w:name w:val="Текст концевой сноски Знак"/>
    <w:basedOn w:val="a0"/>
    <w:link w:val="afa"/>
    <w:uiPriority w:val="99"/>
    <w:semiHidden/>
    <w:rsid w:val="00AC6810"/>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C68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664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664E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4E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2664E4"/>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99"/>
    <w:qFormat/>
    <w:rsid w:val="002664E4"/>
    <w:pPr>
      <w:ind w:left="720"/>
      <w:contextualSpacing/>
    </w:pPr>
  </w:style>
  <w:style w:type="paragraph" w:styleId="a4">
    <w:name w:val="No Spacing"/>
    <w:uiPriority w:val="1"/>
    <w:qFormat/>
    <w:rsid w:val="002664E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uiPriority w:val="99"/>
    <w:rsid w:val="002664E4"/>
  </w:style>
  <w:style w:type="character" w:customStyle="1" w:styleId="a5">
    <w:name w:val="Верхний колонтитул Знак"/>
    <w:basedOn w:val="a0"/>
    <w:link w:val="a6"/>
    <w:uiPriority w:val="99"/>
    <w:rsid w:val="002664E4"/>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2664E4"/>
    <w:pPr>
      <w:tabs>
        <w:tab w:val="center" w:pos="4677"/>
        <w:tab w:val="right" w:pos="9355"/>
      </w:tabs>
    </w:pPr>
  </w:style>
  <w:style w:type="character" w:customStyle="1" w:styleId="11">
    <w:name w:val="Верхний колонтитул Знак1"/>
    <w:basedOn w:val="a0"/>
    <w:uiPriority w:val="99"/>
    <w:semiHidden/>
    <w:rsid w:val="002664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664E4"/>
    <w:pPr>
      <w:tabs>
        <w:tab w:val="center" w:pos="4677"/>
        <w:tab w:val="right" w:pos="9355"/>
      </w:tabs>
    </w:pPr>
  </w:style>
  <w:style w:type="character" w:customStyle="1" w:styleId="a8">
    <w:name w:val="Нижний колонтитул Знак"/>
    <w:basedOn w:val="a0"/>
    <w:link w:val="a7"/>
    <w:uiPriority w:val="99"/>
    <w:rsid w:val="002664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4E4"/>
  </w:style>
  <w:style w:type="paragraph" w:customStyle="1" w:styleId="rtejustify">
    <w:name w:val="rtejustify"/>
    <w:basedOn w:val="a"/>
    <w:rsid w:val="002664E4"/>
    <w:pPr>
      <w:spacing w:before="100" w:beforeAutospacing="1" w:after="100" w:afterAutospacing="1"/>
    </w:pPr>
  </w:style>
  <w:style w:type="paragraph" w:styleId="a9">
    <w:name w:val="Normal (Web)"/>
    <w:basedOn w:val="a"/>
    <w:uiPriority w:val="99"/>
    <w:unhideWhenUsed/>
    <w:rsid w:val="002664E4"/>
    <w:pPr>
      <w:spacing w:before="100" w:beforeAutospacing="1" w:after="100" w:afterAutospacing="1"/>
    </w:pPr>
    <w:rPr>
      <w:rFonts w:ascii="Verdana" w:hAnsi="Verdana"/>
      <w:color w:val="626161"/>
      <w:sz w:val="17"/>
      <w:szCs w:val="17"/>
    </w:rPr>
  </w:style>
  <w:style w:type="paragraph" w:styleId="aa">
    <w:name w:val="Balloon Text"/>
    <w:basedOn w:val="a"/>
    <w:link w:val="ab"/>
    <w:uiPriority w:val="99"/>
    <w:semiHidden/>
    <w:unhideWhenUsed/>
    <w:rsid w:val="002664E4"/>
    <w:rPr>
      <w:rFonts w:ascii="Tahoma" w:hAnsi="Tahoma" w:cs="Tahoma"/>
      <w:sz w:val="16"/>
      <w:szCs w:val="16"/>
    </w:rPr>
  </w:style>
  <w:style w:type="character" w:customStyle="1" w:styleId="ab">
    <w:name w:val="Текст выноски Знак"/>
    <w:basedOn w:val="a0"/>
    <w:link w:val="aa"/>
    <w:uiPriority w:val="99"/>
    <w:semiHidden/>
    <w:rsid w:val="002664E4"/>
    <w:rPr>
      <w:rFonts w:ascii="Tahoma" w:eastAsia="Times New Roman" w:hAnsi="Tahoma" w:cs="Tahoma"/>
      <w:sz w:val="16"/>
      <w:szCs w:val="16"/>
      <w:lang w:eastAsia="ru-RU"/>
    </w:rPr>
  </w:style>
  <w:style w:type="paragraph" w:styleId="ac">
    <w:name w:val="Body Text"/>
    <w:aliases w:val="body text,bt, Знак, Знак Знак Знак, Знак Знак,Знак,Знак Знак Знак,Знак Знак,Осно...,Знак + Before:  10 pt,After:  6 pt,Line spacing:  Exactly 11 pt,b,Знак Знак1, Знак Знак Знак Знак, Знак Знак Знак1,Знак Знак Знак Знак"/>
    <w:basedOn w:val="a"/>
    <w:link w:val="ad"/>
    <w:qFormat/>
    <w:rsid w:val="002664E4"/>
    <w:pPr>
      <w:widowControl w:val="0"/>
      <w:overflowPunct w:val="0"/>
      <w:autoSpaceDE w:val="0"/>
      <w:autoSpaceDN w:val="0"/>
      <w:adjustRightInd w:val="0"/>
      <w:spacing w:before="120" w:after="120" w:line="240" w:lineRule="atLeast"/>
      <w:jc w:val="both"/>
      <w:textAlignment w:val="baseline"/>
    </w:pPr>
    <w:rPr>
      <w:sz w:val="20"/>
      <w:szCs w:val="20"/>
      <w:lang w:val="en-US" w:eastAsia="en-US"/>
    </w:rPr>
  </w:style>
  <w:style w:type="character" w:customStyle="1" w:styleId="ad">
    <w:name w:val="Основной текст Знак"/>
    <w:aliases w:val="body text Знак,bt Знак, Знак Знак1, Знак Знак Знак Знак1, Знак Знак Знак2,Знак Знак2,Знак Знак Знак Знак1,Знак Знак Знак1,Осно... Знак,Знак + Before:  10 pt Знак,After:  6 pt Знак,Line spacing:  Exactly 11 pt Знак,b Знак"/>
    <w:basedOn w:val="a0"/>
    <w:link w:val="ac"/>
    <w:rsid w:val="002664E4"/>
    <w:rPr>
      <w:rFonts w:ascii="Times New Roman" w:eastAsia="Times New Roman" w:hAnsi="Times New Roman" w:cs="Times New Roman"/>
      <w:sz w:val="20"/>
      <w:szCs w:val="20"/>
      <w:lang w:val="en-US"/>
    </w:rPr>
  </w:style>
  <w:style w:type="paragraph" w:customStyle="1" w:styleId="StyleHeading1Auto">
    <w:name w:val="Style Heading 1 + Auto"/>
    <w:basedOn w:val="1"/>
    <w:link w:val="StyleHeading1AutoCharChar"/>
    <w:rsid w:val="002664E4"/>
    <w:pPr>
      <w:keepLines w:val="0"/>
      <w:widowControl w:val="0"/>
      <w:tabs>
        <w:tab w:val="left" w:pos="567"/>
      </w:tabs>
      <w:adjustRightInd w:val="0"/>
      <w:spacing w:before="240" w:line="360" w:lineRule="atLeast"/>
      <w:jc w:val="both"/>
      <w:textAlignment w:val="baseline"/>
    </w:pPr>
    <w:rPr>
      <w:rFonts w:ascii="Times New Roman Bold" w:eastAsia="Times New Roman" w:hAnsi="Times New Roman Bold" w:cs="Times New Roman"/>
      <w:caps/>
      <w:sz w:val="20"/>
      <w:szCs w:val="20"/>
      <w:lang w:val="en-US"/>
    </w:rPr>
  </w:style>
  <w:style w:type="character" w:customStyle="1" w:styleId="StyleHeading1AutoCharChar">
    <w:name w:val="Style Heading 1 + Auto Char Char"/>
    <w:basedOn w:val="10"/>
    <w:link w:val="StyleHeading1Auto"/>
    <w:rsid w:val="002664E4"/>
    <w:rPr>
      <w:rFonts w:ascii="Times New Roman Bold" w:eastAsia="Times New Roman" w:hAnsi="Times New Roman Bold" w:cs="Times New Roman"/>
      <w:b/>
      <w:bCs/>
      <w:caps/>
      <w:color w:val="365F91" w:themeColor="accent1" w:themeShade="BF"/>
      <w:sz w:val="20"/>
      <w:szCs w:val="20"/>
      <w:lang w:val="en-US" w:eastAsia="ru-RU"/>
    </w:rPr>
  </w:style>
  <w:style w:type="paragraph" w:customStyle="1" w:styleId="StyleStyle1Left003cm1">
    <w:name w:val="Style Style1 + Left:  0.03 cm1"/>
    <w:basedOn w:val="a"/>
    <w:rsid w:val="002664E4"/>
    <w:pPr>
      <w:widowControl w:val="0"/>
      <w:numPr>
        <w:numId w:val="8"/>
      </w:numPr>
      <w:tabs>
        <w:tab w:val="clear" w:pos="720"/>
      </w:tabs>
      <w:autoSpaceDE w:val="0"/>
      <w:autoSpaceDN w:val="0"/>
      <w:spacing w:before="120" w:after="120"/>
      <w:ind w:left="17" w:firstLine="0"/>
      <w:jc w:val="both"/>
    </w:pPr>
    <w:rPr>
      <w:sz w:val="20"/>
      <w:szCs w:val="20"/>
      <w:lang w:val="en-US" w:eastAsia="en-US"/>
    </w:rPr>
  </w:style>
  <w:style w:type="paragraph" w:customStyle="1" w:styleId="StyleStyleStyle1Left003cm1Left0cmAfter0pt">
    <w:name w:val="Style Style Style1 + Left:  0.03 cm1 + Left:  0 cm After:  0 pt"/>
    <w:basedOn w:val="StyleStyle1Left003cm1"/>
    <w:rsid w:val="002664E4"/>
  </w:style>
  <w:style w:type="paragraph" w:customStyle="1" w:styleId="StyleStyleHeading1AutoTimesNewRomanJustifiedBefore">
    <w:name w:val="Style Style Heading 1 + Auto + Times New Roman Justified Before: ..."/>
    <w:basedOn w:val="StyleHeading1Auto"/>
    <w:rsid w:val="002664E4"/>
    <w:pPr>
      <w:numPr>
        <w:numId w:val="9"/>
      </w:numPr>
      <w:tabs>
        <w:tab w:val="left" w:pos="567"/>
      </w:tabs>
      <w:ind w:left="0" w:firstLine="0"/>
    </w:pPr>
  </w:style>
  <w:style w:type="paragraph" w:customStyle="1" w:styleId="StyleStyleHeading22numberedindent2ni2h2Hanging2IndentHeader">
    <w:name w:val="Style Style Heading 22numbered indent 2ni2h2Hanging 2 IndentHeader ..."/>
    <w:basedOn w:val="a"/>
    <w:link w:val="StyleStyleHeading22numberedindent2ni2h2Hanging2IndentHeaderChar"/>
    <w:rsid w:val="002664E4"/>
    <w:pPr>
      <w:keepNext/>
      <w:widowControl w:val="0"/>
      <w:tabs>
        <w:tab w:val="left" w:pos="540"/>
      </w:tabs>
      <w:adjustRightInd w:val="0"/>
      <w:spacing w:before="240" w:line="360" w:lineRule="atLeast"/>
      <w:jc w:val="both"/>
      <w:textAlignment w:val="baseline"/>
      <w:outlineLvl w:val="1"/>
    </w:pPr>
    <w:rPr>
      <w:b/>
      <w:bCs/>
      <w:sz w:val="20"/>
      <w:szCs w:val="20"/>
      <w:lang w:val="en-GB" w:eastAsia="en-US"/>
    </w:rPr>
  </w:style>
  <w:style w:type="character" w:customStyle="1" w:styleId="StyleStyleHeading22numberedindent2ni2h2Hanging2IndentHeaderChar">
    <w:name w:val="Style Style Heading 22numbered indent 2ni2h2Hanging 2 IndentHeader ... Char"/>
    <w:basedOn w:val="a0"/>
    <w:link w:val="StyleStyleHeading22numberedindent2ni2h2Hanging2IndentHeader"/>
    <w:rsid w:val="002664E4"/>
    <w:rPr>
      <w:rFonts w:ascii="Times New Roman" w:eastAsia="Times New Roman" w:hAnsi="Times New Roman" w:cs="Times New Roman"/>
      <w:b/>
      <w:bCs/>
      <w:sz w:val="20"/>
      <w:szCs w:val="20"/>
      <w:lang w:val="en-GB"/>
    </w:rPr>
  </w:style>
  <w:style w:type="paragraph" w:customStyle="1" w:styleId="Style10ptJustifiedBefore6pt">
    <w:name w:val="Style 10 pt Justified Before:  6 pt"/>
    <w:basedOn w:val="a"/>
    <w:link w:val="Style10ptJustifiedBefore6ptChar"/>
    <w:rsid w:val="002664E4"/>
    <w:pPr>
      <w:widowControl w:val="0"/>
      <w:adjustRightInd w:val="0"/>
      <w:spacing w:before="120" w:line="360" w:lineRule="atLeast"/>
      <w:jc w:val="both"/>
      <w:textAlignment w:val="baseline"/>
    </w:pPr>
    <w:rPr>
      <w:sz w:val="20"/>
      <w:szCs w:val="20"/>
      <w:lang w:val="en-US" w:eastAsia="en-US"/>
    </w:rPr>
  </w:style>
  <w:style w:type="character" w:customStyle="1" w:styleId="Style10ptJustifiedBefore6ptChar">
    <w:name w:val="Style 10 pt Justified Before:  6 pt Char"/>
    <w:link w:val="Style10ptJustifiedBefore6pt"/>
    <w:rsid w:val="002664E4"/>
    <w:rPr>
      <w:rFonts w:ascii="Times New Roman" w:eastAsia="Times New Roman" w:hAnsi="Times New Roman" w:cs="Times New Roman"/>
      <w:sz w:val="20"/>
      <w:szCs w:val="20"/>
      <w:lang w:val="en-US"/>
    </w:rPr>
  </w:style>
  <w:style w:type="character" w:customStyle="1" w:styleId="ae">
    <w:name w:val="Текст примечания Знак"/>
    <w:link w:val="af"/>
    <w:semiHidden/>
    <w:locked/>
    <w:rsid w:val="002664E4"/>
    <w:rPr>
      <w:rFonts w:ascii="MS Mincho" w:eastAsia="MS Mincho"/>
      <w:lang w:val="en-US"/>
    </w:rPr>
  </w:style>
  <w:style w:type="paragraph" w:styleId="af">
    <w:name w:val="annotation text"/>
    <w:basedOn w:val="a"/>
    <w:link w:val="ae"/>
    <w:semiHidden/>
    <w:rsid w:val="002664E4"/>
    <w:pPr>
      <w:widowControl w:val="0"/>
      <w:adjustRightInd w:val="0"/>
      <w:spacing w:line="360" w:lineRule="atLeast"/>
      <w:jc w:val="both"/>
      <w:textAlignment w:val="baseline"/>
    </w:pPr>
    <w:rPr>
      <w:rFonts w:ascii="MS Mincho" w:eastAsia="MS Mincho" w:hAnsiTheme="minorHAnsi" w:cstheme="minorBidi"/>
      <w:sz w:val="22"/>
      <w:szCs w:val="22"/>
      <w:lang w:val="en-US" w:eastAsia="en-US"/>
    </w:rPr>
  </w:style>
  <w:style w:type="character" w:customStyle="1" w:styleId="12">
    <w:name w:val="Текст примечания Знак1"/>
    <w:basedOn w:val="a0"/>
    <w:uiPriority w:val="99"/>
    <w:semiHidden/>
    <w:rsid w:val="002664E4"/>
    <w:rPr>
      <w:rFonts w:ascii="Times New Roman" w:eastAsia="Times New Roman" w:hAnsi="Times New Roman" w:cs="Times New Roman"/>
      <w:sz w:val="20"/>
      <w:szCs w:val="20"/>
      <w:lang w:eastAsia="ru-RU"/>
    </w:rPr>
  </w:style>
  <w:style w:type="paragraph" w:styleId="af0">
    <w:name w:val="Normal Indent"/>
    <w:basedOn w:val="a"/>
    <w:uiPriority w:val="99"/>
    <w:unhideWhenUsed/>
    <w:rsid w:val="002664E4"/>
    <w:pPr>
      <w:spacing w:before="100" w:beforeAutospacing="1" w:after="100" w:afterAutospacing="1"/>
    </w:pPr>
    <w:rPr>
      <w:rFonts w:eastAsia="Calibri"/>
      <w:lang w:val="en-GB" w:eastAsia="en-GB"/>
    </w:rPr>
  </w:style>
  <w:style w:type="paragraph" w:customStyle="1" w:styleId="af1">
    <w:name w:val="Глава"/>
    <w:basedOn w:val="a"/>
    <w:link w:val="af2"/>
    <w:uiPriority w:val="99"/>
    <w:rsid w:val="002664E4"/>
    <w:rPr>
      <w:rFonts w:ascii="Arial" w:hAnsi="Arial"/>
      <w:b/>
      <w:sz w:val="28"/>
      <w:szCs w:val="28"/>
    </w:rPr>
  </w:style>
  <w:style w:type="character" w:customStyle="1" w:styleId="af2">
    <w:name w:val="Глава Знак"/>
    <w:link w:val="af1"/>
    <w:uiPriority w:val="99"/>
    <w:rsid w:val="002664E4"/>
    <w:rPr>
      <w:rFonts w:ascii="Arial" w:eastAsia="Times New Roman" w:hAnsi="Arial" w:cs="Times New Roman"/>
      <w:b/>
      <w:sz w:val="28"/>
      <w:szCs w:val="28"/>
      <w:lang w:eastAsia="ru-RU"/>
    </w:rPr>
  </w:style>
  <w:style w:type="paragraph" w:styleId="af3">
    <w:name w:val="footnote text"/>
    <w:basedOn w:val="a"/>
    <w:link w:val="af4"/>
    <w:uiPriority w:val="99"/>
    <w:semiHidden/>
    <w:unhideWhenUsed/>
    <w:rsid w:val="002664E4"/>
    <w:rPr>
      <w:sz w:val="20"/>
      <w:szCs w:val="20"/>
    </w:rPr>
  </w:style>
  <w:style w:type="character" w:customStyle="1" w:styleId="af4">
    <w:name w:val="Текст сноски Знак"/>
    <w:basedOn w:val="a0"/>
    <w:link w:val="af3"/>
    <w:uiPriority w:val="99"/>
    <w:semiHidden/>
    <w:rsid w:val="002664E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2664E4"/>
    <w:rPr>
      <w:vertAlign w:val="superscript"/>
    </w:rPr>
  </w:style>
  <w:style w:type="paragraph" w:customStyle="1" w:styleId="Style12">
    <w:name w:val="Style12"/>
    <w:basedOn w:val="a"/>
    <w:uiPriority w:val="99"/>
    <w:rsid w:val="002664E4"/>
    <w:pPr>
      <w:widowControl w:val="0"/>
      <w:autoSpaceDE w:val="0"/>
      <w:autoSpaceDN w:val="0"/>
      <w:adjustRightInd w:val="0"/>
      <w:spacing w:line="276" w:lineRule="exact"/>
      <w:ind w:firstLine="562"/>
      <w:jc w:val="both"/>
    </w:pPr>
    <w:rPr>
      <w:rFonts w:eastAsiaTheme="minorEastAsia"/>
    </w:rPr>
  </w:style>
  <w:style w:type="paragraph" w:customStyle="1" w:styleId="Style16">
    <w:name w:val="Style16"/>
    <w:basedOn w:val="a"/>
    <w:uiPriority w:val="99"/>
    <w:rsid w:val="002664E4"/>
    <w:pPr>
      <w:widowControl w:val="0"/>
      <w:autoSpaceDE w:val="0"/>
      <w:autoSpaceDN w:val="0"/>
      <w:adjustRightInd w:val="0"/>
    </w:pPr>
    <w:rPr>
      <w:rFonts w:eastAsiaTheme="minorEastAsia"/>
    </w:rPr>
  </w:style>
  <w:style w:type="character" w:customStyle="1" w:styleId="FontStyle73">
    <w:name w:val="Font Style73"/>
    <w:basedOn w:val="a0"/>
    <w:uiPriority w:val="99"/>
    <w:rsid w:val="002664E4"/>
    <w:rPr>
      <w:rFonts w:ascii="Times New Roman" w:hAnsi="Times New Roman" w:cs="Times New Roman"/>
      <w:color w:val="000000"/>
      <w:sz w:val="18"/>
      <w:szCs w:val="18"/>
    </w:rPr>
  </w:style>
  <w:style w:type="character" w:customStyle="1" w:styleId="FontStyle75">
    <w:name w:val="Font Style75"/>
    <w:basedOn w:val="a0"/>
    <w:uiPriority w:val="99"/>
    <w:rsid w:val="002664E4"/>
    <w:rPr>
      <w:rFonts w:ascii="Times New Roman" w:hAnsi="Times New Roman" w:cs="Times New Roman"/>
      <w:color w:val="000000"/>
      <w:sz w:val="22"/>
      <w:szCs w:val="22"/>
    </w:rPr>
  </w:style>
  <w:style w:type="character" w:customStyle="1" w:styleId="s0">
    <w:name w:val="s0"/>
    <w:basedOn w:val="a0"/>
    <w:rsid w:val="002664E4"/>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Style9">
    <w:name w:val="Style9"/>
    <w:basedOn w:val="a"/>
    <w:uiPriority w:val="99"/>
    <w:rsid w:val="002664E4"/>
    <w:pPr>
      <w:widowControl w:val="0"/>
      <w:autoSpaceDE w:val="0"/>
      <w:autoSpaceDN w:val="0"/>
      <w:adjustRightInd w:val="0"/>
      <w:spacing w:line="274" w:lineRule="exact"/>
      <w:jc w:val="both"/>
    </w:pPr>
    <w:rPr>
      <w:rFonts w:eastAsiaTheme="minorEastAsia"/>
    </w:rPr>
  </w:style>
  <w:style w:type="paragraph" w:customStyle="1" w:styleId="Style17">
    <w:name w:val="Style17"/>
    <w:basedOn w:val="a"/>
    <w:uiPriority w:val="99"/>
    <w:rsid w:val="002664E4"/>
    <w:pPr>
      <w:widowControl w:val="0"/>
      <w:autoSpaceDE w:val="0"/>
      <w:autoSpaceDN w:val="0"/>
      <w:adjustRightInd w:val="0"/>
      <w:spacing w:line="277" w:lineRule="exact"/>
      <w:jc w:val="both"/>
    </w:pPr>
    <w:rPr>
      <w:rFonts w:eastAsiaTheme="minorEastAsia"/>
    </w:rPr>
  </w:style>
  <w:style w:type="paragraph" w:customStyle="1" w:styleId="Style20">
    <w:name w:val="Style20"/>
    <w:basedOn w:val="a"/>
    <w:uiPriority w:val="99"/>
    <w:rsid w:val="002664E4"/>
    <w:pPr>
      <w:widowControl w:val="0"/>
      <w:autoSpaceDE w:val="0"/>
      <w:autoSpaceDN w:val="0"/>
      <w:adjustRightInd w:val="0"/>
    </w:pPr>
    <w:rPr>
      <w:rFonts w:eastAsiaTheme="minorEastAsia"/>
    </w:rPr>
  </w:style>
  <w:style w:type="paragraph" w:customStyle="1" w:styleId="Style28">
    <w:name w:val="Style28"/>
    <w:basedOn w:val="a"/>
    <w:uiPriority w:val="99"/>
    <w:rsid w:val="002664E4"/>
    <w:pPr>
      <w:widowControl w:val="0"/>
      <w:autoSpaceDE w:val="0"/>
      <w:autoSpaceDN w:val="0"/>
      <w:adjustRightInd w:val="0"/>
    </w:pPr>
    <w:rPr>
      <w:rFonts w:eastAsiaTheme="minorEastAsia"/>
    </w:rPr>
  </w:style>
  <w:style w:type="paragraph" w:customStyle="1" w:styleId="Style31">
    <w:name w:val="Style31"/>
    <w:basedOn w:val="a"/>
    <w:uiPriority w:val="99"/>
    <w:rsid w:val="002664E4"/>
    <w:pPr>
      <w:widowControl w:val="0"/>
      <w:autoSpaceDE w:val="0"/>
      <w:autoSpaceDN w:val="0"/>
      <w:adjustRightInd w:val="0"/>
      <w:spacing w:line="230" w:lineRule="exact"/>
      <w:ind w:firstLine="154"/>
    </w:pPr>
    <w:rPr>
      <w:rFonts w:eastAsiaTheme="minorEastAsia"/>
    </w:rPr>
  </w:style>
  <w:style w:type="paragraph" w:customStyle="1" w:styleId="Style32">
    <w:name w:val="Style32"/>
    <w:basedOn w:val="a"/>
    <w:uiPriority w:val="99"/>
    <w:rsid w:val="002664E4"/>
    <w:pPr>
      <w:widowControl w:val="0"/>
      <w:autoSpaceDE w:val="0"/>
      <w:autoSpaceDN w:val="0"/>
      <w:adjustRightInd w:val="0"/>
      <w:spacing w:line="230" w:lineRule="exact"/>
      <w:jc w:val="both"/>
    </w:pPr>
    <w:rPr>
      <w:rFonts w:eastAsiaTheme="minorEastAsia"/>
    </w:rPr>
  </w:style>
  <w:style w:type="character" w:customStyle="1" w:styleId="FontStyle67">
    <w:name w:val="Font Style67"/>
    <w:basedOn w:val="a0"/>
    <w:uiPriority w:val="99"/>
    <w:rsid w:val="002664E4"/>
    <w:rPr>
      <w:rFonts w:ascii="Times New Roman" w:hAnsi="Times New Roman" w:cs="Times New Roman"/>
      <w:b/>
      <w:bCs/>
      <w:color w:val="000000"/>
      <w:sz w:val="18"/>
      <w:szCs w:val="18"/>
    </w:rPr>
  </w:style>
  <w:style w:type="paragraph" w:customStyle="1" w:styleId="Style24">
    <w:name w:val="Style24"/>
    <w:basedOn w:val="a"/>
    <w:uiPriority w:val="99"/>
    <w:rsid w:val="002664E4"/>
    <w:pPr>
      <w:widowControl w:val="0"/>
      <w:autoSpaceDE w:val="0"/>
      <w:autoSpaceDN w:val="0"/>
      <w:adjustRightInd w:val="0"/>
    </w:pPr>
    <w:rPr>
      <w:rFonts w:eastAsiaTheme="minorEastAsia"/>
    </w:rPr>
  </w:style>
  <w:style w:type="character" w:customStyle="1" w:styleId="FontStyle57">
    <w:name w:val="Font Style57"/>
    <w:basedOn w:val="a0"/>
    <w:uiPriority w:val="99"/>
    <w:rsid w:val="002664E4"/>
    <w:rPr>
      <w:rFonts w:ascii="Times New Roman" w:hAnsi="Times New Roman" w:cs="Times New Roman"/>
      <w:i/>
      <w:iCs/>
      <w:color w:val="000000"/>
      <w:sz w:val="18"/>
      <w:szCs w:val="18"/>
    </w:rPr>
  </w:style>
  <w:style w:type="paragraph" w:customStyle="1" w:styleId="Style25">
    <w:name w:val="Style25"/>
    <w:basedOn w:val="a"/>
    <w:uiPriority w:val="99"/>
    <w:rsid w:val="002664E4"/>
    <w:pPr>
      <w:widowControl w:val="0"/>
      <w:autoSpaceDE w:val="0"/>
      <w:autoSpaceDN w:val="0"/>
      <w:adjustRightInd w:val="0"/>
    </w:pPr>
    <w:rPr>
      <w:rFonts w:eastAsiaTheme="minorEastAsia"/>
    </w:rPr>
  </w:style>
  <w:style w:type="paragraph" w:customStyle="1" w:styleId="Style2">
    <w:name w:val="Style2"/>
    <w:basedOn w:val="a"/>
    <w:uiPriority w:val="99"/>
    <w:rsid w:val="002664E4"/>
    <w:pPr>
      <w:widowControl w:val="0"/>
      <w:autoSpaceDE w:val="0"/>
      <w:autoSpaceDN w:val="0"/>
      <w:adjustRightInd w:val="0"/>
      <w:spacing w:line="274" w:lineRule="exact"/>
      <w:jc w:val="center"/>
    </w:pPr>
    <w:rPr>
      <w:rFonts w:eastAsiaTheme="minorEastAsia"/>
    </w:rPr>
  </w:style>
  <w:style w:type="paragraph" w:customStyle="1" w:styleId="Style15">
    <w:name w:val="Style15"/>
    <w:basedOn w:val="a"/>
    <w:uiPriority w:val="99"/>
    <w:rsid w:val="002664E4"/>
    <w:pPr>
      <w:widowControl w:val="0"/>
      <w:autoSpaceDE w:val="0"/>
      <w:autoSpaceDN w:val="0"/>
      <w:adjustRightInd w:val="0"/>
    </w:pPr>
    <w:rPr>
      <w:rFonts w:eastAsiaTheme="minorEastAsia"/>
    </w:rPr>
  </w:style>
  <w:style w:type="paragraph" w:customStyle="1" w:styleId="Style21">
    <w:name w:val="Style21"/>
    <w:basedOn w:val="a"/>
    <w:uiPriority w:val="99"/>
    <w:rsid w:val="002664E4"/>
    <w:pPr>
      <w:widowControl w:val="0"/>
      <w:autoSpaceDE w:val="0"/>
      <w:autoSpaceDN w:val="0"/>
      <w:adjustRightInd w:val="0"/>
      <w:spacing w:line="274" w:lineRule="exact"/>
      <w:ind w:firstLine="566"/>
    </w:pPr>
    <w:rPr>
      <w:rFonts w:eastAsiaTheme="minorEastAsia"/>
    </w:rPr>
  </w:style>
  <w:style w:type="paragraph" w:customStyle="1" w:styleId="Style47">
    <w:name w:val="Style47"/>
    <w:basedOn w:val="a"/>
    <w:uiPriority w:val="99"/>
    <w:rsid w:val="002664E4"/>
    <w:pPr>
      <w:widowControl w:val="0"/>
      <w:autoSpaceDE w:val="0"/>
      <w:autoSpaceDN w:val="0"/>
      <w:adjustRightInd w:val="0"/>
      <w:spacing w:line="274" w:lineRule="exact"/>
      <w:ind w:firstLine="562"/>
      <w:jc w:val="both"/>
    </w:pPr>
    <w:rPr>
      <w:rFonts w:eastAsiaTheme="minorEastAsia"/>
    </w:rPr>
  </w:style>
  <w:style w:type="character" w:customStyle="1" w:styleId="FontStyle71">
    <w:name w:val="Font Style71"/>
    <w:basedOn w:val="a0"/>
    <w:uiPriority w:val="99"/>
    <w:rsid w:val="002664E4"/>
    <w:rPr>
      <w:rFonts w:ascii="Times New Roman" w:hAnsi="Times New Roman" w:cs="Times New Roman"/>
      <w:color w:val="000000"/>
      <w:sz w:val="18"/>
      <w:szCs w:val="18"/>
    </w:rPr>
  </w:style>
  <w:style w:type="paragraph" w:customStyle="1" w:styleId="norma">
    <w:name w:val="norma"/>
    <w:basedOn w:val="a"/>
    <w:link w:val="normaChar"/>
    <w:rsid w:val="002664E4"/>
    <w:pPr>
      <w:widowControl w:val="0"/>
      <w:overflowPunct w:val="0"/>
      <w:autoSpaceDE w:val="0"/>
      <w:autoSpaceDN w:val="0"/>
      <w:adjustRightInd w:val="0"/>
      <w:spacing w:line="360" w:lineRule="atLeast"/>
      <w:jc w:val="both"/>
      <w:textAlignment w:val="baseline"/>
    </w:pPr>
    <w:rPr>
      <w:rFonts w:ascii="Arial" w:hAnsi="Arial" w:cs="Arial"/>
      <w:b/>
      <w:bCs/>
      <w:i/>
      <w:iCs/>
      <w:sz w:val="18"/>
      <w:szCs w:val="20"/>
      <w:lang w:val="en-GB" w:eastAsia="en-US"/>
    </w:rPr>
  </w:style>
  <w:style w:type="character" w:customStyle="1" w:styleId="normaChar">
    <w:name w:val="norma Char"/>
    <w:link w:val="norma"/>
    <w:rsid w:val="002664E4"/>
    <w:rPr>
      <w:rFonts w:ascii="Arial" w:eastAsia="Times New Roman" w:hAnsi="Arial" w:cs="Arial"/>
      <w:b/>
      <w:bCs/>
      <w:i/>
      <w:iCs/>
      <w:sz w:val="18"/>
      <w:szCs w:val="20"/>
      <w:lang w:val="en-GB"/>
    </w:rPr>
  </w:style>
  <w:style w:type="paragraph" w:customStyle="1" w:styleId="Heading1N">
    <w:name w:val="Heading 1 N"/>
    <w:basedOn w:val="3"/>
    <w:rsid w:val="002664E4"/>
    <w:pPr>
      <w:keepNext w:val="0"/>
      <w:keepLines w:val="0"/>
      <w:tabs>
        <w:tab w:val="num" w:pos="0"/>
      </w:tabs>
      <w:overflowPunct w:val="0"/>
      <w:autoSpaceDE w:val="0"/>
      <w:autoSpaceDN w:val="0"/>
      <w:adjustRightInd w:val="0"/>
      <w:spacing w:before="240"/>
      <w:ind w:left="360" w:hanging="360"/>
      <w:jc w:val="both"/>
      <w:textAlignment w:val="baseline"/>
    </w:pPr>
    <w:rPr>
      <w:rFonts w:ascii="Palatino Linotype" w:eastAsia="Times New Roman" w:hAnsi="Palatino Linotype" w:cs="Times New Roman"/>
      <w:color w:val="auto"/>
      <w:sz w:val="22"/>
      <w:szCs w:val="22"/>
      <w:lang w:val="en-GB" w:eastAsia="en-US"/>
    </w:rPr>
  </w:style>
  <w:style w:type="character" w:styleId="af6">
    <w:name w:val="FollowedHyperlink"/>
    <w:basedOn w:val="a0"/>
    <w:uiPriority w:val="99"/>
    <w:semiHidden/>
    <w:unhideWhenUsed/>
    <w:rsid w:val="002664E4"/>
    <w:rPr>
      <w:color w:val="800080" w:themeColor="followedHyperlink"/>
      <w:u w:val="single"/>
    </w:rPr>
  </w:style>
  <w:style w:type="character" w:customStyle="1" w:styleId="hps">
    <w:name w:val="hps"/>
    <w:basedOn w:val="a0"/>
    <w:rsid w:val="002664E4"/>
  </w:style>
  <w:style w:type="character" w:customStyle="1" w:styleId="atn">
    <w:name w:val="atn"/>
    <w:basedOn w:val="a0"/>
    <w:rsid w:val="002664E4"/>
  </w:style>
  <w:style w:type="table" w:styleId="af7">
    <w:name w:val="Table Grid"/>
    <w:basedOn w:val="a1"/>
    <w:uiPriority w:val="99"/>
    <w:rsid w:val="002664E4"/>
    <w:pPr>
      <w:spacing w:after="0" w:line="240" w:lineRule="auto"/>
      <w:ind w:left="2058" w:hanging="35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semiHidden/>
    <w:rsid w:val="002664E4"/>
    <w:rPr>
      <w:sz w:val="16"/>
      <w:szCs w:val="16"/>
    </w:rPr>
  </w:style>
  <w:style w:type="character" w:styleId="af9">
    <w:name w:val="Emphasis"/>
    <w:basedOn w:val="a0"/>
    <w:uiPriority w:val="20"/>
    <w:qFormat/>
    <w:rsid w:val="002664E4"/>
    <w:rPr>
      <w:i/>
      <w:iCs/>
    </w:rPr>
  </w:style>
  <w:style w:type="paragraph" w:styleId="afa">
    <w:name w:val="endnote text"/>
    <w:basedOn w:val="a"/>
    <w:link w:val="afb"/>
    <w:uiPriority w:val="99"/>
    <w:semiHidden/>
    <w:unhideWhenUsed/>
    <w:rsid w:val="00AC6810"/>
    <w:rPr>
      <w:sz w:val="20"/>
      <w:szCs w:val="20"/>
    </w:rPr>
  </w:style>
  <w:style w:type="character" w:customStyle="1" w:styleId="afb">
    <w:name w:val="Текст концевой сноски Знак"/>
    <w:basedOn w:val="a0"/>
    <w:link w:val="afa"/>
    <w:uiPriority w:val="99"/>
    <w:semiHidden/>
    <w:rsid w:val="00AC6810"/>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C6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759">
      <w:bodyDiv w:val="1"/>
      <w:marLeft w:val="0"/>
      <w:marRight w:val="0"/>
      <w:marTop w:val="0"/>
      <w:marBottom w:val="0"/>
      <w:divBdr>
        <w:top w:val="none" w:sz="0" w:space="0" w:color="auto"/>
        <w:left w:val="none" w:sz="0" w:space="0" w:color="auto"/>
        <w:bottom w:val="none" w:sz="0" w:space="0" w:color="auto"/>
        <w:right w:val="none" w:sz="0" w:space="0" w:color="auto"/>
      </w:divBdr>
    </w:div>
    <w:div w:id="402217670">
      <w:bodyDiv w:val="1"/>
      <w:marLeft w:val="0"/>
      <w:marRight w:val="0"/>
      <w:marTop w:val="0"/>
      <w:marBottom w:val="0"/>
      <w:divBdr>
        <w:top w:val="none" w:sz="0" w:space="0" w:color="auto"/>
        <w:left w:val="none" w:sz="0" w:space="0" w:color="auto"/>
        <w:bottom w:val="none" w:sz="0" w:space="0" w:color="auto"/>
        <w:right w:val="none" w:sz="0" w:space="0" w:color="auto"/>
      </w:divBdr>
    </w:div>
    <w:div w:id="411775092">
      <w:bodyDiv w:val="1"/>
      <w:marLeft w:val="0"/>
      <w:marRight w:val="0"/>
      <w:marTop w:val="0"/>
      <w:marBottom w:val="0"/>
      <w:divBdr>
        <w:top w:val="none" w:sz="0" w:space="0" w:color="auto"/>
        <w:left w:val="none" w:sz="0" w:space="0" w:color="auto"/>
        <w:bottom w:val="none" w:sz="0" w:space="0" w:color="auto"/>
        <w:right w:val="none" w:sz="0" w:space="0" w:color="auto"/>
      </w:divBdr>
    </w:div>
    <w:div w:id="844832143">
      <w:bodyDiv w:val="1"/>
      <w:marLeft w:val="0"/>
      <w:marRight w:val="0"/>
      <w:marTop w:val="0"/>
      <w:marBottom w:val="0"/>
      <w:divBdr>
        <w:top w:val="none" w:sz="0" w:space="0" w:color="auto"/>
        <w:left w:val="none" w:sz="0" w:space="0" w:color="auto"/>
        <w:bottom w:val="none" w:sz="0" w:space="0" w:color="auto"/>
        <w:right w:val="none" w:sz="0" w:space="0" w:color="auto"/>
      </w:divBdr>
    </w:div>
    <w:div w:id="955255447">
      <w:bodyDiv w:val="1"/>
      <w:marLeft w:val="0"/>
      <w:marRight w:val="0"/>
      <w:marTop w:val="0"/>
      <w:marBottom w:val="0"/>
      <w:divBdr>
        <w:top w:val="none" w:sz="0" w:space="0" w:color="auto"/>
        <w:left w:val="none" w:sz="0" w:space="0" w:color="auto"/>
        <w:bottom w:val="none" w:sz="0" w:space="0" w:color="auto"/>
        <w:right w:val="none" w:sz="0" w:space="0" w:color="auto"/>
      </w:divBdr>
    </w:div>
    <w:div w:id="966395417">
      <w:bodyDiv w:val="1"/>
      <w:marLeft w:val="0"/>
      <w:marRight w:val="0"/>
      <w:marTop w:val="0"/>
      <w:marBottom w:val="0"/>
      <w:divBdr>
        <w:top w:val="none" w:sz="0" w:space="0" w:color="auto"/>
        <w:left w:val="none" w:sz="0" w:space="0" w:color="auto"/>
        <w:bottom w:val="none" w:sz="0" w:space="0" w:color="auto"/>
        <w:right w:val="none" w:sz="0" w:space="0" w:color="auto"/>
      </w:divBdr>
    </w:div>
    <w:div w:id="1259173234">
      <w:bodyDiv w:val="1"/>
      <w:marLeft w:val="0"/>
      <w:marRight w:val="0"/>
      <w:marTop w:val="0"/>
      <w:marBottom w:val="0"/>
      <w:divBdr>
        <w:top w:val="none" w:sz="0" w:space="0" w:color="auto"/>
        <w:left w:val="none" w:sz="0" w:space="0" w:color="auto"/>
        <w:bottom w:val="none" w:sz="0" w:space="0" w:color="auto"/>
        <w:right w:val="none" w:sz="0" w:space="0" w:color="auto"/>
      </w:divBdr>
    </w:div>
    <w:div w:id="1286276494">
      <w:bodyDiv w:val="1"/>
      <w:marLeft w:val="0"/>
      <w:marRight w:val="0"/>
      <w:marTop w:val="0"/>
      <w:marBottom w:val="0"/>
      <w:divBdr>
        <w:top w:val="none" w:sz="0" w:space="0" w:color="auto"/>
        <w:left w:val="none" w:sz="0" w:space="0" w:color="auto"/>
        <w:bottom w:val="none" w:sz="0" w:space="0" w:color="auto"/>
        <w:right w:val="none" w:sz="0" w:space="0" w:color="auto"/>
      </w:divBdr>
    </w:div>
    <w:div w:id="177277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G-Kudabaeva\AppData\Local\Microsoft\Windows\Temporary%20Internet%20Files\Content.Outlook\2ETQTM2O\20120523-&#1060;&#1072;&#1082;&#1090;&#1086;&#1088;&#1099;%20&#1089;&#1085;&#1080;&#1078;&#1077;&#1085;&#1080;&#1103;%20&#1063;&#1055;%20&#1089;%20&#1041;&#1042;&#1059;.xls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Zh-Shaimardanov\Desktop\&#1055;&#1040;&#1060;&#1054;\&#1079;&#1072;%201%20&#1087;&#1086;&#1083;&#1091;&#1075;&#1086;&#1076;&#1080;&#1077;%202012\english\20120928-english%20&#1090;&#1072;&#1073;&#1083;&#1080;&#1094;&#1099;,%20&#1075;&#1088;&#1072;&#1092;&#1080;&#1082;&#1080;%20&#1076;&#1083;&#1103;%20&#1055;&#1040;&#1060;&#10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1" i="0" baseline="0">
                <a:effectLst/>
              </a:rPr>
              <a:t>Dynamics of income, cost, operating income </a:t>
            </a:r>
          </a:p>
          <a:p>
            <a:pPr>
              <a:defRPr sz="1400"/>
            </a:pPr>
            <a:r>
              <a:rPr lang="ru-RU" sz="1400" b="1" i="0" baseline="0">
                <a:effectLst/>
              </a:rPr>
              <a:t>(</a:t>
            </a:r>
            <a:r>
              <a:rPr lang="en-US" sz="1400" b="1" i="0" baseline="0">
                <a:effectLst/>
              </a:rPr>
              <a:t>H</a:t>
            </a:r>
            <a:r>
              <a:rPr lang="ru-RU" sz="1400" b="1" i="0" baseline="0">
                <a:effectLst/>
              </a:rPr>
              <a:t>1 2010 =100%)</a:t>
            </a:r>
            <a:endParaRPr lang="ru-RU" sz="1400">
              <a:effectLst/>
            </a:endParaRPr>
          </a:p>
        </c:rich>
      </c:tx>
      <c:layout>
        <c:manualLayout>
          <c:xMode val="edge"/>
          <c:yMode val="edge"/>
          <c:x val="0.12826869244084216"/>
          <c:y val="7.3738772603173346E-3"/>
        </c:manualLayout>
      </c:layout>
      <c:overlay val="0"/>
    </c:title>
    <c:autoTitleDeleted val="0"/>
    <c:plotArea>
      <c:layout>
        <c:manualLayout>
          <c:layoutTarget val="inner"/>
          <c:xMode val="edge"/>
          <c:yMode val="edge"/>
          <c:x val="9.3527796363722771E-2"/>
          <c:y val="0.15341827246468565"/>
          <c:w val="0.84842257731482196"/>
          <c:h val="0.63093175853018368"/>
        </c:manualLayout>
      </c:layout>
      <c:barChart>
        <c:barDir val="col"/>
        <c:grouping val="clustered"/>
        <c:varyColors val="0"/>
        <c:ser>
          <c:idx val="0"/>
          <c:order val="0"/>
          <c:tx>
            <c:strRef>
              <c:f>'свод с БВУ'!$K$15</c:f>
              <c:strCache>
                <c:ptCount val="1"/>
                <c:pt idx="0">
                  <c:v>Sales income and interest income</c:v>
                </c:pt>
              </c:strCache>
            </c:strRef>
          </c:tx>
          <c:invertIfNegative val="0"/>
          <c:dLbls>
            <c:dLbl>
              <c:idx val="0"/>
              <c:layout>
                <c:manualLayout>
                  <c:x val="0"/>
                  <c:y val="1.6750418760469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'свод с БВУ'!$P$14:$Q$14</c:f>
              <c:strCache>
                <c:ptCount val="2"/>
                <c:pt idx="0">
                  <c:v>H1 2011</c:v>
                </c:pt>
                <c:pt idx="1">
                  <c:v>H1 2012</c:v>
                </c:pt>
              </c:strCache>
            </c:strRef>
          </c:cat>
          <c:val>
            <c:numRef>
              <c:f>'свод с БВУ'!$P$15:$Q$15</c:f>
              <c:numCache>
                <c:formatCode>0%</c:formatCode>
                <c:ptCount val="2"/>
                <c:pt idx="0">
                  <c:v>1.2171766146340208</c:v>
                </c:pt>
                <c:pt idx="1">
                  <c:v>1.367024091726377</c:v>
                </c:pt>
              </c:numCache>
            </c:numRef>
          </c:val>
        </c:ser>
        <c:ser>
          <c:idx val="1"/>
          <c:order val="1"/>
          <c:tx>
            <c:strRef>
              <c:f>'свод с БВУ'!$K$16</c:f>
              <c:strCache>
                <c:ptCount val="1"/>
                <c:pt idx="0">
                  <c:v>Cost of sales and interest costs</c:v>
                </c:pt>
              </c:strCache>
            </c:strRef>
          </c:tx>
          <c:invertIfNegative val="0"/>
          <c:dLbls>
            <c:dLbl>
              <c:idx val="0"/>
              <c:layout>
                <c:manualLayout>
                  <c:x val="0"/>
                  <c:y val="1.6750418760469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'свод с БВУ'!$P$14:$Q$14</c:f>
              <c:strCache>
                <c:ptCount val="2"/>
                <c:pt idx="0">
                  <c:v>H1 2011</c:v>
                </c:pt>
                <c:pt idx="1">
                  <c:v>H1 2012</c:v>
                </c:pt>
              </c:strCache>
            </c:strRef>
          </c:cat>
          <c:val>
            <c:numRef>
              <c:f>'свод с БВУ'!$P$16:$Q$16</c:f>
              <c:numCache>
                <c:formatCode>0%</c:formatCode>
                <c:ptCount val="2"/>
                <c:pt idx="0">
                  <c:v>1.2384219482703196</c:v>
                </c:pt>
                <c:pt idx="1">
                  <c:v>1.4584977467053808</c:v>
                </c:pt>
              </c:numCache>
            </c:numRef>
          </c:val>
        </c:ser>
        <c:ser>
          <c:idx val="3"/>
          <c:order val="2"/>
          <c:tx>
            <c:strRef>
              <c:f>'свод с БВУ'!$K$17</c:f>
              <c:strCache>
                <c:ptCount val="1"/>
                <c:pt idx="0">
                  <c:v>Other operating loss</c:v>
                </c:pt>
              </c:strCache>
            </c:strRef>
          </c:tx>
          <c:invertIfNegative val="0"/>
          <c:dLbls>
            <c:showLegendKey val="0"/>
            <c:showVal val="1"/>
            <c:showCatName val="0"/>
            <c:showSerName val="0"/>
            <c:showPercent val="0"/>
            <c:showBubbleSize val="0"/>
            <c:showLeaderLines val="0"/>
          </c:dLbls>
          <c:cat>
            <c:strRef>
              <c:f>'свод с БВУ'!$P$14:$Q$14</c:f>
              <c:strCache>
                <c:ptCount val="2"/>
                <c:pt idx="0">
                  <c:v>H1 2011</c:v>
                </c:pt>
                <c:pt idx="1">
                  <c:v>H1 2012</c:v>
                </c:pt>
              </c:strCache>
            </c:strRef>
          </c:cat>
          <c:val>
            <c:numRef>
              <c:f>'свод с БВУ'!$P$17:$Q$17</c:f>
              <c:numCache>
                <c:formatCode>0%</c:formatCode>
                <c:ptCount val="2"/>
                <c:pt idx="0">
                  <c:v>0.73424707270581824</c:v>
                </c:pt>
                <c:pt idx="1">
                  <c:v>11.722773894889716</c:v>
                </c:pt>
              </c:numCache>
            </c:numRef>
          </c:val>
        </c:ser>
        <c:ser>
          <c:idx val="2"/>
          <c:order val="3"/>
          <c:tx>
            <c:strRef>
              <c:f>'свод с БВУ'!$K$18</c:f>
              <c:strCache>
                <c:ptCount val="1"/>
                <c:pt idx="0">
                  <c:v>Operating income</c:v>
                </c:pt>
              </c:strCache>
            </c:strRef>
          </c:tx>
          <c:invertIfNegative val="0"/>
          <c:dLbls>
            <c:showLegendKey val="0"/>
            <c:showVal val="1"/>
            <c:showCatName val="0"/>
            <c:showSerName val="0"/>
            <c:showPercent val="0"/>
            <c:showBubbleSize val="0"/>
            <c:showLeaderLines val="0"/>
          </c:dLbls>
          <c:cat>
            <c:strRef>
              <c:f>'свод с БВУ'!$P$14:$Q$14</c:f>
              <c:strCache>
                <c:ptCount val="2"/>
                <c:pt idx="0">
                  <c:v>H1 2011</c:v>
                </c:pt>
                <c:pt idx="1">
                  <c:v>H1 2012</c:v>
                </c:pt>
              </c:strCache>
            </c:strRef>
          </c:cat>
          <c:val>
            <c:numRef>
              <c:f>'свод с БВУ'!$P$18:$Q$18</c:f>
              <c:numCache>
                <c:formatCode>0%</c:formatCode>
                <c:ptCount val="2"/>
                <c:pt idx="0">
                  <c:v>0.90445428165971231</c:v>
                </c:pt>
                <c:pt idx="1">
                  <c:v>-1.3311842077393938</c:v>
                </c:pt>
              </c:numCache>
            </c:numRef>
          </c:val>
        </c:ser>
        <c:dLbls>
          <c:showLegendKey val="0"/>
          <c:showVal val="0"/>
          <c:showCatName val="0"/>
          <c:showSerName val="0"/>
          <c:showPercent val="0"/>
          <c:showBubbleSize val="0"/>
        </c:dLbls>
        <c:gapWidth val="150"/>
        <c:axId val="165669120"/>
        <c:axId val="167845888"/>
      </c:barChart>
      <c:catAx>
        <c:axId val="165669120"/>
        <c:scaling>
          <c:orientation val="minMax"/>
        </c:scaling>
        <c:delete val="0"/>
        <c:axPos val="b"/>
        <c:majorTickMark val="out"/>
        <c:minorTickMark val="none"/>
        <c:tickLblPos val="nextTo"/>
        <c:crossAx val="167845888"/>
        <c:crossesAt val="-2"/>
        <c:auto val="1"/>
        <c:lblAlgn val="ctr"/>
        <c:lblOffset val="100"/>
        <c:noMultiLvlLbl val="0"/>
      </c:catAx>
      <c:valAx>
        <c:axId val="167845888"/>
        <c:scaling>
          <c:orientation val="minMax"/>
          <c:max val="12"/>
          <c:min val="-2"/>
        </c:scaling>
        <c:delete val="0"/>
        <c:axPos val="l"/>
        <c:majorGridlines/>
        <c:numFmt formatCode="0%" sourceLinked="1"/>
        <c:majorTickMark val="out"/>
        <c:minorTickMark val="none"/>
        <c:tickLblPos val="nextTo"/>
        <c:crossAx val="165669120"/>
        <c:crosses val="autoZero"/>
        <c:crossBetween val="between"/>
      </c:valAx>
    </c:plotArea>
    <c:legend>
      <c:legendPos val="b"/>
      <c:layout>
        <c:manualLayout>
          <c:xMode val="edge"/>
          <c:yMode val="edge"/>
          <c:x val="3.6154521780667824E-2"/>
          <c:y val="0.86333478415700549"/>
          <c:w val="0.92769075098489406"/>
          <c:h val="0.13543227950777509"/>
        </c:manualLayout>
      </c:layout>
      <c:overlay val="0"/>
      <c:txPr>
        <a:bodyPr/>
        <a:lstStyle/>
        <a:p>
          <a:pPr rtl="0">
            <a:defRPr/>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5D63060D877D44B9574BBF8131CA49" ma:contentTypeVersion="0" ma:contentTypeDescription="Создание документа." ma:contentTypeScope="" ma:versionID="2e52074c64d75b696aae6453f206d0a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5125-FA14-464E-B36A-E07F68292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7A4484-A894-4DD3-9B72-6A438A2F5E86}">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6687822-CC83-4D65-9A40-5CCD8A552C5E}">
  <ds:schemaRefs>
    <ds:schemaRef ds:uri="http://schemas.microsoft.com/sharepoint/v3/contenttype/forms"/>
  </ds:schemaRefs>
</ds:datastoreItem>
</file>

<file path=customXml/itemProps4.xml><?xml version="1.0" encoding="utf-8"?>
<ds:datastoreItem xmlns:ds="http://schemas.openxmlformats.org/officeDocument/2006/customXml" ds:itemID="{B30E57B5-9A05-40CC-A3D1-0FD74013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33</Pages>
  <Words>15327</Words>
  <Characters>87367</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ПАФО_ENG_2012.06.14.025837.docx</vt:lpstr>
    </vt:vector>
  </TitlesOfParts>
  <Company>S-K</Company>
  <LinksUpToDate>false</LinksUpToDate>
  <CharactersWithSpaces>102490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ПАФО_ENG_2012.06.14.025837.docx</dc:title>
  <dc:creator>G-Begimbetova</dc:creator>
  <cp:lastModifiedBy>g-kudabaeva</cp:lastModifiedBy>
  <cp:revision>299</cp:revision>
  <cp:lastPrinted>2012-11-19T15:36:00Z</cp:lastPrinted>
  <dcterms:created xsi:type="dcterms:W3CDTF">2012-09-25T05:05:00Z</dcterms:created>
  <dcterms:modified xsi:type="dcterms:W3CDTF">2012-11-19T15:39:00Z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0x0101002D5D63060D877D44B9574BBF8131CA49</vt:lpwstr>
  </property>
  <property fmtid="{D5CDD505-2E9C-101B-9397-08002B2CF9AE}" pid="3" name="Order">
    <vt:r8>16827400</vt:r8>
  </property>
</Properties>
</file>